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1D0F4" w14:textId="7D6F2F6E" w:rsidR="00CF2C82" w:rsidRDefault="00CF2C82">
      <w:pPr>
        <w:widowControl w:val="0"/>
        <w:pBdr>
          <w:top w:val="nil"/>
          <w:left w:val="nil"/>
          <w:bottom w:val="nil"/>
          <w:right w:val="nil"/>
          <w:between w:val="nil"/>
        </w:pBdr>
      </w:pPr>
    </w:p>
    <w:p w14:paraId="74C1D0F5" w14:textId="77777777" w:rsidR="00CF2C82" w:rsidRDefault="009F54A0">
      <w:pPr>
        <w:jc w:val="center"/>
        <w:rPr>
          <w:b/>
          <w:bCs/>
        </w:rPr>
      </w:pPr>
      <w:r>
        <w:rPr>
          <w:b/>
          <w:bCs/>
          <w:noProof/>
        </w:rPr>
        <w:drawing>
          <wp:inline distT="114300" distB="114300" distL="114300" distR="114300" wp14:anchorId="74C1D2FE" wp14:editId="74C1D2FF">
            <wp:extent cx="5588641" cy="7479325"/>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588641" cy="7479325"/>
                    </a:xfrm>
                    <a:prstGeom prst="rect">
                      <a:avLst/>
                    </a:prstGeom>
                    <a:ln/>
                  </pic:spPr>
                </pic:pic>
              </a:graphicData>
            </a:graphic>
          </wp:inline>
        </w:drawing>
      </w:r>
    </w:p>
    <w:p w14:paraId="74C1D0F6" w14:textId="77777777" w:rsidR="00CF2C82" w:rsidRDefault="00CF2C82">
      <w:pPr>
        <w:rPr>
          <w:b/>
          <w:bCs/>
        </w:rPr>
      </w:pPr>
    </w:p>
    <w:p w14:paraId="74C1D0F7" w14:textId="77777777" w:rsidR="00CF2C82" w:rsidRDefault="00CF2C82">
      <w:pPr>
        <w:jc w:val="center"/>
        <w:rPr>
          <w:b/>
          <w:bCs/>
        </w:rPr>
      </w:pPr>
    </w:p>
    <w:p w14:paraId="74C1D0F8" w14:textId="77777777" w:rsidR="00CF2C82" w:rsidRDefault="00CF2C82">
      <w:pPr>
        <w:rPr>
          <w:b/>
          <w:bCs/>
        </w:rPr>
      </w:pPr>
    </w:p>
    <w:p w14:paraId="74C1D0F9" w14:textId="77777777" w:rsidR="00CF2C82" w:rsidRDefault="009F54A0">
      <w:pPr>
        <w:jc w:val="center"/>
        <w:rPr>
          <w:b/>
          <w:bCs/>
        </w:rPr>
      </w:pPr>
      <w:r>
        <w:rPr>
          <w:b/>
          <w:bCs/>
          <w:noProof/>
        </w:rPr>
        <w:drawing>
          <wp:inline distT="114300" distB="114300" distL="114300" distR="114300" wp14:anchorId="74C1D300" wp14:editId="74C1D301">
            <wp:extent cx="5745805" cy="7696200"/>
            <wp:effectExtent l="0" t="0" r="0" b="0"/>
            <wp:docPr id="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5745805" cy="7696200"/>
                    </a:xfrm>
                    <a:prstGeom prst="rect">
                      <a:avLst/>
                    </a:prstGeom>
                    <a:ln/>
                  </pic:spPr>
                </pic:pic>
              </a:graphicData>
            </a:graphic>
          </wp:inline>
        </w:drawing>
      </w:r>
    </w:p>
    <w:p w14:paraId="74C1D0FA" w14:textId="77777777" w:rsidR="00CF2C82" w:rsidRDefault="00CF2C82">
      <w:pPr>
        <w:jc w:val="center"/>
        <w:rPr>
          <w:b/>
          <w:bCs/>
        </w:rPr>
      </w:pPr>
    </w:p>
    <w:p w14:paraId="74C1D0FB" w14:textId="77777777" w:rsidR="00CF2C82" w:rsidRDefault="00CF2C82">
      <w:pPr>
        <w:jc w:val="center"/>
        <w:rPr>
          <w:b/>
          <w:bCs/>
        </w:rPr>
      </w:pPr>
    </w:p>
    <w:p w14:paraId="74C1D0FC" w14:textId="77777777" w:rsidR="00CF2C82" w:rsidRDefault="00CF2C82">
      <w:pPr>
        <w:jc w:val="center"/>
        <w:rPr>
          <w:b/>
          <w:bCs/>
        </w:rPr>
      </w:pPr>
    </w:p>
    <w:p w14:paraId="74C1D0FD" w14:textId="77777777" w:rsidR="00CF2C82" w:rsidRDefault="00CF2C82">
      <w:pPr>
        <w:jc w:val="center"/>
        <w:rPr>
          <w:b/>
          <w:bCs/>
        </w:rPr>
      </w:pPr>
    </w:p>
    <w:p w14:paraId="74C1D0FE" w14:textId="77777777" w:rsidR="00CF2C82" w:rsidRDefault="00CF2C82">
      <w:pPr>
        <w:jc w:val="center"/>
        <w:rPr>
          <w:b/>
          <w:bCs/>
        </w:rPr>
      </w:pPr>
    </w:p>
    <w:p w14:paraId="74C1D0FF" w14:textId="77777777" w:rsidR="00CF2C82" w:rsidRDefault="009F54A0">
      <w:r>
        <w:t xml:space="preserve"> </w:t>
      </w:r>
    </w:p>
    <w:p w14:paraId="74C1D100" w14:textId="77777777" w:rsidR="00CF2C82" w:rsidRDefault="009F54A0">
      <w:pPr>
        <w:jc w:val="center"/>
        <w:rPr>
          <w:b/>
          <w:bCs/>
          <w:sz w:val="24"/>
          <w:szCs w:val="24"/>
        </w:rPr>
      </w:pPr>
      <w:r>
        <w:rPr>
          <w:b/>
          <w:bCs/>
          <w:sz w:val="24"/>
          <w:szCs w:val="24"/>
        </w:rPr>
        <w:t xml:space="preserve">Cartilla No. 3 </w:t>
      </w:r>
    </w:p>
    <w:p w14:paraId="74C1D101" w14:textId="77777777" w:rsidR="00CF2C82" w:rsidRDefault="00CF2C82">
      <w:pPr>
        <w:jc w:val="center"/>
        <w:rPr>
          <w:b/>
          <w:bCs/>
          <w:sz w:val="32"/>
          <w:szCs w:val="32"/>
        </w:rPr>
      </w:pPr>
    </w:p>
    <w:p w14:paraId="74C1D102" w14:textId="77777777" w:rsidR="00CF2C82" w:rsidRDefault="009F54A0">
      <w:pPr>
        <w:jc w:val="center"/>
        <w:rPr>
          <w:b/>
          <w:bCs/>
          <w:sz w:val="32"/>
          <w:szCs w:val="32"/>
        </w:rPr>
      </w:pPr>
      <w:r>
        <w:rPr>
          <w:b/>
          <w:bCs/>
          <w:sz w:val="32"/>
          <w:szCs w:val="32"/>
        </w:rPr>
        <w:t>Cesión a título gratuito de bienes fiscales titulables a particulares</w:t>
      </w:r>
    </w:p>
    <w:p w14:paraId="74C1D103" w14:textId="77777777" w:rsidR="00CF2C82" w:rsidRDefault="009F54A0">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C1D104" w14:textId="77777777" w:rsidR="00CF2C82" w:rsidRDefault="00CF2C82">
      <w:pPr>
        <w:ind w:left="920" w:right="900"/>
        <w:jc w:val="center"/>
        <w:rPr>
          <w:b/>
          <w:bCs/>
        </w:rPr>
      </w:pPr>
    </w:p>
    <w:p w14:paraId="74C1D105" w14:textId="77777777" w:rsidR="00CF2C82" w:rsidRDefault="009F54A0">
      <w:pPr>
        <w:spacing w:before="240" w:after="240"/>
        <w:rPr>
          <w:b/>
          <w:bCs/>
          <w:sz w:val="24"/>
          <w:szCs w:val="24"/>
        </w:rPr>
      </w:pPr>
      <w:r>
        <w:rPr>
          <w:b/>
          <w:bCs/>
          <w:sz w:val="24"/>
          <w:szCs w:val="24"/>
        </w:rPr>
        <w:t xml:space="preserve"> </w:t>
      </w:r>
    </w:p>
    <w:p w14:paraId="74C1D106" w14:textId="77777777" w:rsidR="00CF2C82" w:rsidRDefault="009F54A0">
      <w:pPr>
        <w:spacing w:before="240" w:after="240"/>
        <w:jc w:val="center"/>
        <w:rPr>
          <w:b/>
          <w:bCs/>
          <w:sz w:val="24"/>
          <w:szCs w:val="24"/>
        </w:rPr>
      </w:pPr>
      <w:r>
        <w:rPr>
          <w:b/>
          <w:bCs/>
        </w:rPr>
        <w:t xml:space="preserve"> </w:t>
      </w:r>
      <w:proofErr w:type="spellStart"/>
      <w:r>
        <w:rPr>
          <w:b/>
          <w:bCs/>
          <w:sz w:val="24"/>
          <w:szCs w:val="24"/>
        </w:rPr>
        <w:t>CiuData</w:t>
      </w:r>
      <w:proofErr w:type="spellEnd"/>
      <w:r>
        <w:rPr>
          <w:b/>
          <w:bCs/>
          <w:sz w:val="24"/>
          <w:szCs w:val="24"/>
        </w:rPr>
        <w:t>+</w:t>
      </w:r>
    </w:p>
    <w:p w14:paraId="74C1D107" w14:textId="77777777" w:rsidR="00CF2C82" w:rsidRDefault="009F54A0">
      <w:pPr>
        <w:jc w:val="center"/>
        <w:rPr>
          <w:b/>
          <w:bCs/>
          <w:sz w:val="24"/>
          <w:szCs w:val="24"/>
        </w:rPr>
      </w:pPr>
      <w:bookmarkStart w:id="0" w:name="_heading=h.afg54g4do22t" w:colFirst="0" w:colLast="0"/>
      <w:bookmarkEnd w:id="0"/>
      <w:r>
        <w:rPr>
          <w:b/>
          <w:bCs/>
          <w:sz w:val="24"/>
          <w:szCs w:val="24"/>
        </w:rPr>
        <w:t>“Programa para el Fortalecimiento de Gobiernos Subnacionales</w:t>
      </w:r>
    </w:p>
    <w:p w14:paraId="74C1D108" w14:textId="77777777" w:rsidR="00CF2C82" w:rsidRDefault="009F54A0">
      <w:pPr>
        <w:jc w:val="center"/>
        <w:rPr>
          <w:b/>
          <w:bCs/>
          <w:sz w:val="24"/>
          <w:szCs w:val="24"/>
        </w:rPr>
      </w:pPr>
      <w:bookmarkStart w:id="1" w:name="_heading=h.zhu5efbb4z5l" w:colFirst="0" w:colLast="0"/>
      <w:bookmarkEnd w:id="1"/>
      <w:r>
        <w:rPr>
          <w:b/>
          <w:bCs/>
          <w:sz w:val="24"/>
          <w:szCs w:val="24"/>
        </w:rPr>
        <w:t>en la Administración de Tierras y Gestión Fiscal en Colombia del Banco Mundial”</w:t>
      </w:r>
    </w:p>
    <w:p w14:paraId="74C1D109" w14:textId="77777777" w:rsidR="00CF2C82" w:rsidRDefault="009F54A0">
      <w:pPr>
        <w:shd w:val="clear" w:color="auto" w:fill="FFFFFF"/>
        <w:spacing w:before="240" w:after="240"/>
        <w:jc w:val="center"/>
        <w:rPr>
          <w:b/>
          <w:bCs/>
        </w:rPr>
      </w:pPr>
      <w:r>
        <w:rPr>
          <w:b/>
          <w:bCs/>
        </w:rPr>
        <w:t xml:space="preserve"> </w:t>
      </w:r>
    </w:p>
    <w:p w14:paraId="74C1D10A" w14:textId="77777777" w:rsidR="00CF2C82" w:rsidRDefault="009F54A0">
      <w:pPr>
        <w:shd w:val="clear" w:color="auto" w:fill="FFFFFF"/>
        <w:spacing w:before="240" w:after="240"/>
        <w:jc w:val="center"/>
        <w:rPr>
          <w:b/>
          <w:bCs/>
        </w:rPr>
      </w:pPr>
      <w:r>
        <w:rPr>
          <w:b/>
          <w:bCs/>
        </w:rPr>
        <w:t xml:space="preserve"> </w:t>
      </w:r>
    </w:p>
    <w:p w14:paraId="74C1D10B" w14:textId="77777777" w:rsidR="00CF2C82" w:rsidRDefault="009F54A0">
      <w:pPr>
        <w:jc w:val="center"/>
        <w:rPr>
          <w:b/>
          <w:bCs/>
          <w:sz w:val="24"/>
          <w:szCs w:val="24"/>
        </w:rPr>
      </w:pPr>
      <w:bookmarkStart w:id="2" w:name="_heading=h.1ecmb1i4ojhw" w:colFirst="0" w:colLast="0"/>
      <w:bookmarkEnd w:id="2"/>
      <w:r>
        <w:rPr>
          <w:b/>
          <w:bCs/>
          <w:sz w:val="24"/>
          <w:szCs w:val="24"/>
        </w:rPr>
        <w:t>Fortalecimiento de la gestión de información territorial y catastral</w:t>
      </w:r>
    </w:p>
    <w:p w14:paraId="74C1D10C" w14:textId="77777777" w:rsidR="00CF2C82" w:rsidRDefault="00CF2C82">
      <w:pPr>
        <w:spacing w:before="240" w:after="240"/>
        <w:rPr>
          <w:b/>
          <w:bCs/>
        </w:rPr>
      </w:pPr>
    </w:p>
    <w:p w14:paraId="74C1D10D" w14:textId="77777777" w:rsidR="00CF2C82" w:rsidRDefault="009F54A0">
      <w:pPr>
        <w:spacing w:before="240" w:after="240"/>
        <w:rPr>
          <w:b/>
          <w:bCs/>
        </w:rPr>
      </w:pPr>
      <w:r>
        <w:rPr>
          <w:b/>
          <w:bCs/>
        </w:rPr>
        <w:t xml:space="preserve"> </w:t>
      </w:r>
    </w:p>
    <w:p w14:paraId="74C1D10E" w14:textId="77777777" w:rsidR="00CF2C82" w:rsidRDefault="009F54A0">
      <w:pPr>
        <w:spacing w:after="240"/>
        <w:rPr>
          <w:b/>
          <w:bCs/>
        </w:rPr>
      </w:pPr>
      <w:r>
        <w:rPr>
          <w:b/>
          <w:bCs/>
        </w:rPr>
        <w:t xml:space="preserve"> </w:t>
      </w:r>
    </w:p>
    <w:p w14:paraId="74C1D10F" w14:textId="77777777" w:rsidR="00CF2C82" w:rsidRDefault="009F54A0">
      <w:pPr>
        <w:spacing w:after="240"/>
      </w:pPr>
      <w:r>
        <w:br/>
      </w:r>
      <w:r>
        <w:br/>
      </w:r>
    </w:p>
    <w:p w14:paraId="74C1D110" w14:textId="77777777" w:rsidR="00CF2C82" w:rsidRDefault="009F54A0">
      <w:pPr>
        <w:jc w:val="center"/>
      </w:pPr>
      <w:r>
        <w:t>Versión mayo de 2026</w:t>
      </w:r>
    </w:p>
    <w:p w14:paraId="74C1D111" w14:textId="77777777" w:rsidR="00CF2C82" w:rsidRDefault="009F54A0">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C1D112" w14:textId="77777777" w:rsidR="00CF2C82" w:rsidRDefault="009F54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C1D113" w14:textId="77777777" w:rsidR="00CF2C82" w:rsidRDefault="00CF2C82">
      <w:pPr>
        <w:rPr>
          <w:rFonts w:ascii="Times New Roman" w:eastAsia="Times New Roman" w:hAnsi="Times New Roman" w:cs="Times New Roman"/>
          <w:sz w:val="24"/>
          <w:szCs w:val="24"/>
        </w:rPr>
      </w:pPr>
    </w:p>
    <w:p w14:paraId="74C1D114" w14:textId="77777777" w:rsidR="00CF2C82" w:rsidRDefault="00CF2C82">
      <w:pPr>
        <w:rPr>
          <w:rFonts w:ascii="Aptos" w:eastAsia="Aptos" w:hAnsi="Aptos" w:cs="Aptos"/>
          <w:b/>
          <w:bCs/>
          <w:sz w:val="24"/>
          <w:szCs w:val="24"/>
        </w:rPr>
      </w:pPr>
    </w:p>
    <w:p w14:paraId="74C1D115" w14:textId="77777777" w:rsidR="00CF2C82" w:rsidRDefault="009F54A0">
      <w:pPr>
        <w:rPr>
          <w:b/>
          <w:bCs/>
        </w:rPr>
      </w:pPr>
      <w:r>
        <w:rPr>
          <w:b/>
          <w:bCs/>
        </w:rPr>
        <w:lastRenderedPageBreak/>
        <w:t xml:space="preserve">Public </w:t>
      </w:r>
      <w:proofErr w:type="spellStart"/>
      <w:r>
        <w:rPr>
          <w:b/>
          <w:bCs/>
        </w:rPr>
        <w:t>Diisclosure</w:t>
      </w:r>
      <w:proofErr w:type="spellEnd"/>
      <w:r>
        <w:rPr>
          <w:b/>
          <w:bCs/>
        </w:rPr>
        <w:t xml:space="preserve"> </w:t>
      </w:r>
      <w:proofErr w:type="spellStart"/>
      <w:r>
        <w:rPr>
          <w:b/>
          <w:bCs/>
        </w:rPr>
        <w:t>Authorized</w:t>
      </w:r>
      <w:proofErr w:type="spellEnd"/>
      <w:r>
        <w:rPr>
          <w:b/>
          <w:bCs/>
        </w:rPr>
        <w:t xml:space="preserve"> </w:t>
      </w:r>
    </w:p>
    <w:p w14:paraId="74C1D116" w14:textId="77777777" w:rsidR="00CF2C82" w:rsidRDefault="009F54A0">
      <w:pPr>
        <w:rPr>
          <w:b/>
          <w:bCs/>
        </w:rPr>
      </w:pPr>
      <w:r>
        <w:rPr>
          <w:b/>
          <w:bCs/>
        </w:rPr>
        <w:t xml:space="preserve">Departamento Nacional de </w:t>
      </w:r>
      <w:proofErr w:type="spellStart"/>
      <w:r>
        <w:rPr>
          <w:b/>
          <w:bCs/>
        </w:rPr>
        <w:t>PLaneación</w:t>
      </w:r>
      <w:proofErr w:type="spellEnd"/>
      <w:r>
        <w:rPr>
          <w:b/>
          <w:bCs/>
        </w:rPr>
        <w:t xml:space="preserve"> DNP</w:t>
      </w:r>
    </w:p>
    <w:p w14:paraId="74C1D117" w14:textId="77777777" w:rsidR="00CF2C82" w:rsidRDefault="009F54A0">
      <w:pPr>
        <w:rPr>
          <w:b/>
          <w:bCs/>
        </w:rPr>
      </w:pPr>
      <w:r>
        <w:rPr>
          <w:b/>
          <w:bCs/>
        </w:rPr>
        <w:t xml:space="preserve">Dirección de Ordenamiento y Desarrollo Territorial </w:t>
      </w:r>
    </w:p>
    <w:p w14:paraId="74C1D118" w14:textId="77777777" w:rsidR="00CF2C82" w:rsidRDefault="00CF2C82">
      <w:pPr>
        <w:rPr>
          <w:b/>
          <w:bCs/>
        </w:rPr>
      </w:pPr>
    </w:p>
    <w:p w14:paraId="74C1D119" w14:textId="77777777" w:rsidR="00CF2C82" w:rsidRDefault="009F54A0">
      <w:pPr>
        <w:rPr>
          <w:b/>
          <w:bCs/>
        </w:rPr>
      </w:pPr>
      <w:r>
        <w:rPr>
          <w:b/>
          <w:bCs/>
        </w:rPr>
        <w:t>Banco Mundial-</w:t>
      </w:r>
    </w:p>
    <w:p w14:paraId="74C1D11A" w14:textId="77777777" w:rsidR="00CF2C82" w:rsidRDefault="009F54A0">
      <w:pPr>
        <w:rPr>
          <w:b/>
          <w:bCs/>
          <w:color w:val="231F20"/>
        </w:rPr>
      </w:pPr>
      <w:r>
        <w:rPr>
          <w:b/>
          <w:bCs/>
        </w:rPr>
        <w:t>Ivonne Astrid Moreno Horta,</w:t>
      </w:r>
      <w:r>
        <w:rPr>
          <w:b/>
          <w:bCs/>
          <w:color w:val="231F20"/>
        </w:rPr>
        <w:t xml:space="preserve"> Especialista Senior Administración de Tierras</w:t>
      </w:r>
    </w:p>
    <w:p w14:paraId="74C1D11B" w14:textId="77777777" w:rsidR="00CF2C82" w:rsidRDefault="009F54A0">
      <w:pPr>
        <w:rPr>
          <w:b/>
          <w:bCs/>
          <w:color w:val="231F20"/>
        </w:rPr>
      </w:pPr>
      <w:r>
        <w:rPr>
          <w:b/>
          <w:bCs/>
        </w:rPr>
        <w:t xml:space="preserve">Carolina Londoño Araque, </w:t>
      </w:r>
      <w:r>
        <w:rPr>
          <w:b/>
          <w:bCs/>
          <w:color w:val="231F20"/>
        </w:rPr>
        <w:t xml:space="preserve">Coordinadora XXXXXX </w:t>
      </w:r>
      <w:proofErr w:type="spellStart"/>
      <w:r>
        <w:rPr>
          <w:b/>
          <w:bCs/>
          <w:color w:val="231F20"/>
        </w:rPr>
        <w:t>CiuData</w:t>
      </w:r>
      <w:proofErr w:type="spellEnd"/>
      <w:r>
        <w:rPr>
          <w:b/>
          <w:bCs/>
          <w:color w:val="231F20"/>
        </w:rPr>
        <w:t>+</w:t>
      </w:r>
    </w:p>
    <w:p w14:paraId="74C1D11C" w14:textId="77777777" w:rsidR="00CF2C82" w:rsidRDefault="009F54A0">
      <w:pPr>
        <w:rPr>
          <w:b/>
          <w:bCs/>
          <w:color w:val="231F20"/>
        </w:rPr>
      </w:pPr>
      <w:r>
        <w:rPr>
          <w:b/>
          <w:bCs/>
        </w:rPr>
        <w:t xml:space="preserve">Jorge Augusto Bonil Cubides, </w:t>
      </w:r>
      <w:r>
        <w:rPr>
          <w:b/>
          <w:bCs/>
          <w:color w:val="231F20"/>
        </w:rPr>
        <w:t xml:space="preserve">Coordinador Técnico Programa </w:t>
      </w:r>
      <w:proofErr w:type="spellStart"/>
      <w:r>
        <w:rPr>
          <w:b/>
          <w:bCs/>
          <w:color w:val="231F20"/>
        </w:rPr>
        <w:t>CiuData</w:t>
      </w:r>
      <w:proofErr w:type="spellEnd"/>
      <w:r>
        <w:rPr>
          <w:b/>
          <w:bCs/>
          <w:color w:val="231F20"/>
        </w:rPr>
        <w:t>+</w:t>
      </w:r>
    </w:p>
    <w:p w14:paraId="74C1D11D" w14:textId="77777777" w:rsidR="00CF2C82" w:rsidRDefault="009F54A0">
      <w:pPr>
        <w:rPr>
          <w:b/>
          <w:bCs/>
        </w:rPr>
      </w:pPr>
      <w:r>
        <w:rPr>
          <w:b/>
          <w:bCs/>
        </w:rPr>
        <w:t xml:space="preserve"> </w:t>
      </w:r>
    </w:p>
    <w:p w14:paraId="74C1D11E" w14:textId="77777777" w:rsidR="00CF2C82" w:rsidRDefault="009F54A0">
      <w:pPr>
        <w:rPr>
          <w:b/>
          <w:bCs/>
        </w:rPr>
      </w:pPr>
      <w:r>
        <w:rPr>
          <w:b/>
          <w:bCs/>
        </w:rPr>
        <w:t>Coordinación y edición:</w:t>
      </w:r>
    </w:p>
    <w:p w14:paraId="74C1D11F" w14:textId="77777777" w:rsidR="00CF2C82" w:rsidRDefault="009F54A0">
      <w:pPr>
        <w:rPr>
          <w:b/>
          <w:bCs/>
          <w:color w:val="231F20"/>
        </w:rPr>
      </w:pPr>
      <w:r>
        <w:rPr>
          <w:b/>
          <w:bCs/>
        </w:rPr>
        <w:t xml:space="preserve">Jorge Augusto </w:t>
      </w:r>
      <w:proofErr w:type="gramStart"/>
      <w:r>
        <w:rPr>
          <w:b/>
          <w:bCs/>
        </w:rPr>
        <w:t>Bonil ,</w:t>
      </w:r>
      <w:proofErr w:type="gramEnd"/>
      <w:r>
        <w:rPr>
          <w:b/>
          <w:bCs/>
        </w:rPr>
        <w:t xml:space="preserve"> </w:t>
      </w:r>
      <w:r>
        <w:rPr>
          <w:b/>
          <w:bCs/>
          <w:color w:val="231F20"/>
        </w:rPr>
        <w:t xml:space="preserve">Coordinador Técnico Programa </w:t>
      </w:r>
      <w:proofErr w:type="spellStart"/>
      <w:r>
        <w:rPr>
          <w:b/>
          <w:bCs/>
          <w:color w:val="231F20"/>
        </w:rPr>
        <w:t>CiuData</w:t>
      </w:r>
      <w:proofErr w:type="spellEnd"/>
      <w:r>
        <w:rPr>
          <w:b/>
          <w:bCs/>
          <w:color w:val="231F20"/>
        </w:rPr>
        <w:t>+</w:t>
      </w:r>
    </w:p>
    <w:p w14:paraId="74C1D120" w14:textId="77777777" w:rsidR="00CF2C82" w:rsidRDefault="009F54A0">
      <w:pPr>
        <w:rPr>
          <w:b/>
          <w:bCs/>
        </w:rPr>
      </w:pPr>
      <w:r>
        <w:rPr>
          <w:b/>
          <w:bCs/>
        </w:rPr>
        <w:t xml:space="preserve"> </w:t>
      </w:r>
    </w:p>
    <w:p w14:paraId="74C1D121" w14:textId="77777777" w:rsidR="00CF2C82" w:rsidRDefault="009F54A0">
      <w:pPr>
        <w:rPr>
          <w:b/>
          <w:bCs/>
        </w:rPr>
      </w:pPr>
      <w:r>
        <w:rPr>
          <w:b/>
          <w:bCs/>
        </w:rPr>
        <w:t xml:space="preserve">Investigación y elaboración: </w:t>
      </w:r>
    </w:p>
    <w:p w14:paraId="74C1D122" w14:textId="77777777" w:rsidR="00CF2C82" w:rsidRDefault="009F54A0">
      <w:pPr>
        <w:rPr>
          <w:b/>
          <w:bCs/>
          <w:color w:val="231F20"/>
        </w:rPr>
      </w:pPr>
      <w:r>
        <w:rPr>
          <w:b/>
          <w:bCs/>
          <w:color w:val="231F20"/>
        </w:rPr>
        <w:t>Marcela Lucena Pantoja, Consultora Jurídica</w:t>
      </w:r>
    </w:p>
    <w:p w14:paraId="74C1D123" w14:textId="77777777" w:rsidR="00CF2C82" w:rsidRDefault="009F54A0">
      <w:pPr>
        <w:rPr>
          <w:b/>
          <w:bCs/>
          <w:color w:val="231F20"/>
        </w:rPr>
      </w:pPr>
      <w:proofErr w:type="gramStart"/>
      <w:r>
        <w:rPr>
          <w:b/>
          <w:bCs/>
          <w:color w:val="231F20"/>
        </w:rPr>
        <w:t>Paola  Andrea</w:t>
      </w:r>
      <w:proofErr w:type="gramEnd"/>
      <w:r>
        <w:rPr>
          <w:b/>
          <w:bCs/>
          <w:color w:val="231F20"/>
        </w:rPr>
        <w:t xml:space="preserve"> Otoya Leguizamón, Consultora Jurídica</w:t>
      </w:r>
    </w:p>
    <w:p w14:paraId="74C1D124" w14:textId="77777777" w:rsidR="00CF2C82" w:rsidRDefault="009F54A0">
      <w:pPr>
        <w:rPr>
          <w:b/>
          <w:bCs/>
          <w:color w:val="231F20"/>
        </w:rPr>
      </w:pPr>
      <w:r>
        <w:rPr>
          <w:b/>
          <w:bCs/>
          <w:color w:val="231F20"/>
        </w:rPr>
        <w:t>Hans Rene Saenz, Consultor Catastral</w:t>
      </w:r>
    </w:p>
    <w:p w14:paraId="74C1D125" w14:textId="77777777" w:rsidR="00CF2C82" w:rsidRDefault="009F54A0">
      <w:pPr>
        <w:rPr>
          <w:b/>
          <w:bCs/>
          <w:color w:val="231F20"/>
        </w:rPr>
      </w:pPr>
      <w:r>
        <w:rPr>
          <w:b/>
          <w:bCs/>
          <w:color w:val="231F20"/>
        </w:rPr>
        <w:t xml:space="preserve"> </w:t>
      </w:r>
    </w:p>
    <w:p w14:paraId="74C1D126" w14:textId="77777777" w:rsidR="00CF2C82" w:rsidRDefault="009F54A0">
      <w:pPr>
        <w:rPr>
          <w:b/>
          <w:bCs/>
          <w:color w:val="231F20"/>
        </w:rPr>
      </w:pPr>
      <w:r>
        <w:rPr>
          <w:b/>
          <w:bCs/>
          <w:color w:val="231F20"/>
        </w:rPr>
        <w:t>Revisión técnica:</w:t>
      </w:r>
    </w:p>
    <w:p w14:paraId="74C1D127" w14:textId="77777777" w:rsidR="00CF2C82" w:rsidRDefault="009F54A0">
      <w:pPr>
        <w:rPr>
          <w:b/>
          <w:bCs/>
          <w:color w:val="231F20"/>
        </w:rPr>
      </w:pPr>
      <w:r>
        <w:rPr>
          <w:b/>
          <w:bCs/>
        </w:rPr>
        <w:t xml:space="preserve">Jorge Augusto Bonil, </w:t>
      </w:r>
      <w:r>
        <w:rPr>
          <w:b/>
          <w:bCs/>
          <w:color w:val="231F20"/>
        </w:rPr>
        <w:t xml:space="preserve">Coordinador Técnico Programa </w:t>
      </w:r>
      <w:proofErr w:type="spellStart"/>
      <w:r>
        <w:rPr>
          <w:b/>
          <w:bCs/>
          <w:color w:val="231F20"/>
        </w:rPr>
        <w:t>CiuData</w:t>
      </w:r>
      <w:proofErr w:type="spellEnd"/>
      <w:r>
        <w:rPr>
          <w:b/>
          <w:bCs/>
          <w:color w:val="231F20"/>
        </w:rPr>
        <w:t>+</w:t>
      </w:r>
    </w:p>
    <w:p w14:paraId="74C1D128" w14:textId="77777777" w:rsidR="00CF2C82" w:rsidRDefault="009F54A0">
      <w:pPr>
        <w:rPr>
          <w:b/>
          <w:bCs/>
        </w:rPr>
      </w:pPr>
      <w:r>
        <w:rPr>
          <w:b/>
          <w:bCs/>
        </w:rPr>
        <w:t xml:space="preserve"> </w:t>
      </w:r>
    </w:p>
    <w:p w14:paraId="74C1D129" w14:textId="77777777" w:rsidR="00CF2C82" w:rsidRDefault="009F54A0">
      <w:pPr>
        <w:rPr>
          <w:b/>
          <w:bCs/>
          <w:color w:val="231F20"/>
        </w:rPr>
      </w:pPr>
      <w:r>
        <w:rPr>
          <w:b/>
          <w:bCs/>
          <w:color w:val="231F20"/>
        </w:rPr>
        <w:t>Edición, diseño y diagramación:</w:t>
      </w:r>
    </w:p>
    <w:p w14:paraId="74C1D12A" w14:textId="77777777" w:rsidR="00CF2C82" w:rsidRDefault="009F54A0">
      <w:pPr>
        <w:rPr>
          <w:b/>
          <w:bCs/>
          <w:color w:val="FF0000"/>
        </w:rPr>
      </w:pPr>
      <w:r>
        <w:rPr>
          <w:b/>
          <w:bCs/>
          <w:color w:val="FF0000"/>
        </w:rPr>
        <w:t>XXXXXXXXXXX</w:t>
      </w:r>
    </w:p>
    <w:p w14:paraId="74C1D12B" w14:textId="77777777" w:rsidR="00CF2C82" w:rsidRDefault="009F54A0">
      <w:pPr>
        <w:rPr>
          <w:b/>
          <w:bCs/>
        </w:rPr>
      </w:pPr>
      <w:r>
        <w:rPr>
          <w:b/>
          <w:bCs/>
        </w:rPr>
        <w:t xml:space="preserve"> </w:t>
      </w:r>
    </w:p>
    <w:p w14:paraId="74C1D12C" w14:textId="77777777" w:rsidR="00CF2C82" w:rsidRDefault="009F54A0">
      <w:pPr>
        <w:rPr>
          <w:b/>
          <w:bCs/>
          <w:color w:val="231F20"/>
        </w:rPr>
      </w:pPr>
      <w:r>
        <w:rPr>
          <w:b/>
          <w:bCs/>
          <w:color w:val="231F20"/>
        </w:rPr>
        <w:t xml:space="preserve">El documento virtual podrá ser encontrado en: </w:t>
      </w:r>
    </w:p>
    <w:p w14:paraId="74C1D12D" w14:textId="77777777" w:rsidR="00CF2C82" w:rsidRPr="00B13295" w:rsidRDefault="009F54A0">
      <w:pPr>
        <w:rPr>
          <w:b/>
          <w:bCs/>
          <w:color w:val="FF0000"/>
          <w:u w:val="single"/>
          <w:lang w:val="en-US"/>
        </w:rPr>
      </w:pPr>
      <w:hyperlink r:id="rId10">
        <w:r w:rsidRPr="00B13295">
          <w:rPr>
            <w:b/>
            <w:bCs/>
            <w:color w:val="FF0000"/>
            <w:u w:val="single"/>
            <w:lang w:val="en-US"/>
          </w:rPr>
          <w:t>https://www.xxxxxxxxxxxxxxxxxxxxx</w:t>
        </w:r>
      </w:hyperlink>
    </w:p>
    <w:p w14:paraId="74C1D12E" w14:textId="77777777" w:rsidR="00CF2C82" w:rsidRPr="00B13295" w:rsidRDefault="009F54A0">
      <w:pPr>
        <w:rPr>
          <w:b/>
          <w:bCs/>
          <w:lang w:val="en-US"/>
        </w:rPr>
      </w:pPr>
      <w:r w:rsidRPr="00B13295">
        <w:rPr>
          <w:b/>
          <w:bCs/>
          <w:lang w:val="en-US"/>
        </w:rPr>
        <w:t xml:space="preserve"> </w:t>
      </w:r>
    </w:p>
    <w:p w14:paraId="74C1D12F" w14:textId="77777777" w:rsidR="00CF2C82" w:rsidRPr="00B13295" w:rsidRDefault="009F54A0">
      <w:pPr>
        <w:rPr>
          <w:b/>
          <w:bCs/>
          <w:lang w:val="en-US"/>
        </w:rPr>
      </w:pPr>
      <w:r w:rsidRPr="00B13295">
        <w:rPr>
          <w:b/>
          <w:bCs/>
          <w:lang w:val="en-US"/>
        </w:rPr>
        <w:t xml:space="preserve">Copyright © 2026 The World Bank </w:t>
      </w:r>
    </w:p>
    <w:p w14:paraId="74C1D130" w14:textId="77777777" w:rsidR="00CF2C82" w:rsidRPr="00B13295" w:rsidRDefault="009F54A0">
      <w:pPr>
        <w:rPr>
          <w:b/>
          <w:bCs/>
          <w:lang w:val="en-US"/>
        </w:rPr>
      </w:pPr>
      <w:r w:rsidRPr="00B13295">
        <w:rPr>
          <w:b/>
          <w:bCs/>
          <w:lang w:val="en-US"/>
        </w:rPr>
        <w:t>1818 H Street NW, Washington DC 20433</w:t>
      </w:r>
    </w:p>
    <w:p w14:paraId="74C1D131" w14:textId="77777777" w:rsidR="00CF2C82" w:rsidRDefault="009F54A0">
      <w:pPr>
        <w:rPr>
          <w:b/>
          <w:bCs/>
        </w:rPr>
      </w:pPr>
      <w:bookmarkStart w:id="3" w:name="_heading=h.2pg32doe8bt1" w:colFirst="0" w:colLast="0"/>
      <w:bookmarkEnd w:id="3"/>
      <w:proofErr w:type="spellStart"/>
      <w:r>
        <w:rPr>
          <w:b/>
          <w:bCs/>
        </w:rPr>
        <w:t>Telephone</w:t>
      </w:r>
      <w:proofErr w:type="spellEnd"/>
      <w:r>
        <w:rPr>
          <w:b/>
          <w:bCs/>
        </w:rPr>
        <w:t>: 202-473-1000; internet: www. Worldbank.org</w:t>
      </w:r>
    </w:p>
    <w:p w14:paraId="74C1D132" w14:textId="77777777" w:rsidR="00CF2C82" w:rsidRDefault="009F54A0">
      <w:pPr>
        <w:rPr>
          <w:b/>
          <w:bCs/>
        </w:rPr>
      </w:pPr>
      <w:bookmarkStart w:id="4" w:name="_heading=h.ncw0j5mvsx28" w:colFirst="0" w:colLast="0"/>
      <w:bookmarkEnd w:id="4"/>
      <w:r>
        <w:rPr>
          <w:b/>
          <w:bCs/>
        </w:rPr>
        <w:t xml:space="preserve"> </w:t>
      </w:r>
    </w:p>
    <w:p w14:paraId="74C1D133" w14:textId="77777777" w:rsidR="00CF2C82" w:rsidRDefault="009F54A0">
      <w:pPr>
        <w:jc w:val="both"/>
        <w:rPr>
          <w:b/>
          <w:bCs/>
        </w:rPr>
      </w:pPr>
      <w:bookmarkStart w:id="5" w:name="_heading=h.fdf85m2ky7h7" w:colFirst="0" w:colLast="0"/>
      <w:bookmarkEnd w:id="5"/>
      <w:r>
        <w:rPr>
          <w:b/>
          <w:bCs/>
        </w:rPr>
        <w:t xml:space="preserve">Los hallazgos, interpretaciones y conclusiones expresados ​​en esta publicación no deben atribuirse de ninguna manera al Banco Mundial. El material de esta obra está protegido por derechos de autor. La copia o transmisión, total o parcial, de esta obra puede constituir una infracción de la legislación aplicable. El Banco Mundial, SECO, y el Departamento Nacional de Planeación DNP, fomentan la difusión de esta publicación y autorizan al usuario a copiar partes de </w:t>
      </w:r>
      <w:proofErr w:type="gramStart"/>
      <w:r>
        <w:rPr>
          <w:b/>
          <w:bCs/>
        </w:rPr>
        <w:t>la misma</w:t>
      </w:r>
      <w:proofErr w:type="gramEnd"/>
      <w:r>
        <w:rPr>
          <w:b/>
          <w:bCs/>
        </w:rPr>
        <w:t xml:space="preserve"> para su uso personal y no comercial, sin derecho alguno a revenderla, redistribuirla ni crear obras derivadas. Cualquier otra copia o uso de esta obra requiere el permiso expreso por escrito del Banco Mundial.  </w:t>
      </w:r>
    </w:p>
    <w:p w14:paraId="74C1D134" w14:textId="77777777" w:rsidR="00CF2C82" w:rsidRDefault="00CF2C82"/>
    <w:p w14:paraId="74C1D135" w14:textId="77777777" w:rsidR="00CF2C82" w:rsidRDefault="00CF2C82"/>
    <w:p w14:paraId="74C1D136" w14:textId="77777777" w:rsidR="00CF2C82" w:rsidRDefault="00CF2C82"/>
    <w:p w14:paraId="74C1D137" w14:textId="77777777" w:rsidR="00CF2C82" w:rsidRDefault="00CF2C82"/>
    <w:p w14:paraId="74C1D138" w14:textId="77777777" w:rsidR="00CF2C82" w:rsidRDefault="00CF2C82">
      <w:pPr>
        <w:jc w:val="both"/>
        <w:rPr>
          <w:sz w:val="24"/>
          <w:szCs w:val="24"/>
        </w:rPr>
      </w:pPr>
    </w:p>
    <w:p w14:paraId="74C1D139" w14:textId="77777777" w:rsidR="00CF2C82" w:rsidRDefault="009F54A0">
      <w:pPr>
        <w:pBdr>
          <w:top w:val="nil"/>
          <w:left w:val="nil"/>
          <w:bottom w:val="nil"/>
          <w:right w:val="nil"/>
          <w:between w:val="nil"/>
        </w:pBdr>
        <w:spacing w:before="240" w:line="259" w:lineRule="auto"/>
        <w:rPr>
          <w:rFonts w:ascii="Calibri" w:eastAsia="Calibri" w:hAnsi="Calibri" w:cs="Calibri"/>
          <w:color w:val="366091"/>
          <w:sz w:val="32"/>
          <w:szCs w:val="32"/>
        </w:rPr>
      </w:pPr>
      <w:r>
        <w:rPr>
          <w:rFonts w:ascii="Calibri" w:eastAsia="Calibri" w:hAnsi="Calibri" w:cs="Calibri"/>
          <w:color w:val="366091"/>
          <w:sz w:val="32"/>
          <w:szCs w:val="32"/>
        </w:rPr>
        <w:lastRenderedPageBreak/>
        <w:t>Tabla de contenido</w:t>
      </w:r>
    </w:p>
    <w:sdt>
      <w:sdtPr>
        <w:rPr>
          <w:lang w:val="es-ES"/>
        </w:rPr>
        <w:id w:val="202752083"/>
        <w:docPartObj>
          <w:docPartGallery w:val="Table of Contents"/>
          <w:docPartUnique/>
        </w:docPartObj>
      </w:sdtPr>
      <w:sdtEndPr>
        <w:rPr>
          <w:rFonts w:ascii="Arial" w:eastAsia="Arial" w:hAnsi="Arial" w:cs="Arial"/>
          <w:b/>
          <w:bCs/>
          <w:color w:val="auto"/>
          <w:sz w:val="22"/>
          <w:szCs w:val="22"/>
        </w:rPr>
      </w:sdtEndPr>
      <w:sdtContent>
        <w:p w14:paraId="45CD3CA4" w14:textId="62C08E72" w:rsidR="00693B66" w:rsidRDefault="00693B66">
          <w:pPr>
            <w:pStyle w:val="TtuloTDC"/>
          </w:pPr>
        </w:p>
        <w:p w14:paraId="319511F0" w14:textId="14CCC65E" w:rsidR="00C04ECD" w:rsidRDefault="00693B66">
          <w:pPr>
            <w:pStyle w:val="TDC1"/>
            <w:tabs>
              <w:tab w:val="right" w:leader="dot" w:pos="9042"/>
            </w:tabs>
            <w:rPr>
              <w:rFonts w:asciiTheme="minorHAnsi" w:eastAsiaTheme="minorEastAsia" w:hAnsiTheme="minorHAnsi" w:cstheme="minorBidi"/>
              <w:noProof/>
              <w:kern w:val="2"/>
              <w:sz w:val="24"/>
              <w:szCs w:val="24"/>
              <w:lang w:val="es-CO"/>
              <w14:ligatures w14:val="standardContextual"/>
            </w:rPr>
          </w:pPr>
          <w:r>
            <w:fldChar w:fldCharType="begin"/>
          </w:r>
          <w:r>
            <w:instrText xml:space="preserve"> TOC \o "1-3" \h \z \u </w:instrText>
          </w:r>
          <w:r>
            <w:fldChar w:fldCharType="separate"/>
          </w:r>
          <w:hyperlink w:anchor="_Toc228956534" w:history="1">
            <w:r w:rsidR="00C04ECD" w:rsidRPr="004F42E4">
              <w:rPr>
                <w:rStyle w:val="Hipervnculo"/>
                <w:b/>
                <w:bCs/>
                <w:noProof/>
              </w:rPr>
              <w:t>Generalidades</w:t>
            </w:r>
            <w:r w:rsidR="00C04ECD">
              <w:rPr>
                <w:noProof/>
                <w:webHidden/>
              </w:rPr>
              <w:tab/>
            </w:r>
            <w:r w:rsidR="00C04ECD">
              <w:rPr>
                <w:noProof/>
                <w:webHidden/>
              </w:rPr>
              <w:fldChar w:fldCharType="begin"/>
            </w:r>
            <w:r w:rsidR="00C04ECD">
              <w:rPr>
                <w:noProof/>
                <w:webHidden/>
              </w:rPr>
              <w:instrText xml:space="preserve"> PAGEREF _Toc228956534 \h </w:instrText>
            </w:r>
            <w:r w:rsidR="00C04ECD">
              <w:rPr>
                <w:noProof/>
                <w:webHidden/>
              </w:rPr>
            </w:r>
            <w:r w:rsidR="00C04ECD">
              <w:rPr>
                <w:noProof/>
                <w:webHidden/>
              </w:rPr>
              <w:fldChar w:fldCharType="separate"/>
            </w:r>
            <w:r w:rsidR="00C04ECD">
              <w:rPr>
                <w:noProof/>
                <w:webHidden/>
              </w:rPr>
              <w:t>7</w:t>
            </w:r>
            <w:r w:rsidR="00C04ECD">
              <w:rPr>
                <w:noProof/>
                <w:webHidden/>
              </w:rPr>
              <w:fldChar w:fldCharType="end"/>
            </w:r>
          </w:hyperlink>
        </w:p>
        <w:p w14:paraId="3EDDE8E6" w14:textId="2AA2A730" w:rsidR="00C04ECD" w:rsidRDefault="00C04ECD">
          <w:pPr>
            <w:pStyle w:val="TDC1"/>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35" w:history="1">
            <w:r w:rsidRPr="004F42E4">
              <w:rPr>
                <w:rStyle w:val="Hipervnculo"/>
                <w:b/>
                <w:bCs/>
                <w:noProof/>
              </w:rPr>
              <w:t>Resumen</w:t>
            </w:r>
            <w:r>
              <w:rPr>
                <w:noProof/>
                <w:webHidden/>
              </w:rPr>
              <w:tab/>
            </w:r>
            <w:r>
              <w:rPr>
                <w:noProof/>
                <w:webHidden/>
              </w:rPr>
              <w:fldChar w:fldCharType="begin"/>
            </w:r>
            <w:r>
              <w:rPr>
                <w:noProof/>
                <w:webHidden/>
              </w:rPr>
              <w:instrText xml:space="preserve"> PAGEREF _Toc228956535 \h </w:instrText>
            </w:r>
            <w:r>
              <w:rPr>
                <w:noProof/>
                <w:webHidden/>
              </w:rPr>
            </w:r>
            <w:r>
              <w:rPr>
                <w:noProof/>
                <w:webHidden/>
              </w:rPr>
              <w:fldChar w:fldCharType="separate"/>
            </w:r>
            <w:r>
              <w:rPr>
                <w:noProof/>
                <w:webHidden/>
              </w:rPr>
              <w:t>9</w:t>
            </w:r>
            <w:r>
              <w:rPr>
                <w:noProof/>
                <w:webHidden/>
              </w:rPr>
              <w:fldChar w:fldCharType="end"/>
            </w:r>
          </w:hyperlink>
        </w:p>
        <w:p w14:paraId="623C88AF" w14:textId="0F0AE11F" w:rsidR="00C04ECD" w:rsidRDefault="00C04ECD">
          <w:pPr>
            <w:pStyle w:val="TDC1"/>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36" w:history="1">
            <w:r w:rsidRPr="004F42E4">
              <w:rPr>
                <w:rStyle w:val="Hipervnculo"/>
                <w:b/>
                <w:bCs/>
                <w:noProof/>
              </w:rPr>
              <w:t>Introducción</w:t>
            </w:r>
            <w:r>
              <w:rPr>
                <w:noProof/>
                <w:webHidden/>
              </w:rPr>
              <w:tab/>
            </w:r>
            <w:r>
              <w:rPr>
                <w:noProof/>
                <w:webHidden/>
              </w:rPr>
              <w:fldChar w:fldCharType="begin"/>
            </w:r>
            <w:r>
              <w:rPr>
                <w:noProof/>
                <w:webHidden/>
              </w:rPr>
              <w:instrText xml:space="preserve"> PAGEREF _Toc228956536 \h </w:instrText>
            </w:r>
            <w:r>
              <w:rPr>
                <w:noProof/>
                <w:webHidden/>
              </w:rPr>
            </w:r>
            <w:r>
              <w:rPr>
                <w:noProof/>
                <w:webHidden/>
              </w:rPr>
              <w:fldChar w:fldCharType="separate"/>
            </w:r>
            <w:r>
              <w:rPr>
                <w:noProof/>
                <w:webHidden/>
              </w:rPr>
              <w:t>10</w:t>
            </w:r>
            <w:r>
              <w:rPr>
                <w:noProof/>
                <w:webHidden/>
              </w:rPr>
              <w:fldChar w:fldCharType="end"/>
            </w:r>
          </w:hyperlink>
        </w:p>
        <w:p w14:paraId="47548634" w14:textId="39A6AB69" w:rsidR="00C04ECD" w:rsidRDefault="00C04ECD">
          <w:pPr>
            <w:pStyle w:val="TDC1"/>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37" w:history="1">
            <w:r w:rsidRPr="004F42E4">
              <w:rPr>
                <w:rStyle w:val="Hipervnculo"/>
                <w:b/>
                <w:bCs/>
                <w:noProof/>
              </w:rPr>
              <w:t>Capítulo 1. Presentación y alcance</w:t>
            </w:r>
            <w:r>
              <w:rPr>
                <w:noProof/>
                <w:webHidden/>
              </w:rPr>
              <w:tab/>
            </w:r>
            <w:r>
              <w:rPr>
                <w:noProof/>
                <w:webHidden/>
              </w:rPr>
              <w:fldChar w:fldCharType="begin"/>
            </w:r>
            <w:r>
              <w:rPr>
                <w:noProof/>
                <w:webHidden/>
              </w:rPr>
              <w:instrText xml:space="preserve"> PAGEREF _Toc228956537 \h </w:instrText>
            </w:r>
            <w:r>
              <w:rPr>
                <w:noProof/>
                <w:webHidden/>
              </w:rPr>
            </w:r>
            <w:r>
              <w:rPr>
                <w:noProof/>
                <w:webHidden/>
              </w:rPr>
              <w:fldChar w:fldCharType="separate"/>
            </w:r>
            <w:r>
              <w:rPr>
                <w:noProof/>
                <w:webHidden/>
              </w:rPr>
              <w:t>11</w:t>
            </w:r>
            <w:r>
              <w:rPr>
                <w:noProof/>
                <w:webHidden/>
              </w:rPr>
              <w:fldChar w:fldCharType="end"/>
            </w:r>
          </w:hyperlink>
        </w:p>
        <w:p w14:paraId="10AD508F" w14:textId="180496C4" w:rsidR="00C04ECD" w:rsidRDefault="00C04ECD">
          <w:pPr>
            <w:pStyle w:val="TDC1"/>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38" w:history="1">
            <w:r w:rsidRPr="004F42E4">
              <w:rPr>
                <w:rStyle w:val="Hipervnculo"/>
                <w:b/>
                <w:bCs/>
                <w:noProof/>
              </w:rPr>
              <w:t>Capítulo 2. Pasos para el proceso de cesión a título gratuito de bienes fiscales a particulares</w:t>
            </w:r>
            <w:r>
              <w:rPr>
                <w:noProof/>
                <w:webHidden/>
              </w:rPr>
              <w:tab/>
            </w:r>
            <w:r>
              <w:rPr>
                <w:noProof/>
                <w:webHidden/>
              </w:rPr>
              <w:fldChar w:fldCharType="begin"/>
            </w:r>
            <w:r>
              <w:rPr>
                <w:noProof/>
                <w:webHidden/>
              </w:rPr>
              <w:instrText xml:space="preserve"> PAGEREF _Toc228956538 \h </w:instrText>
            </w:r>
            <w:r>
              <w:rPr>
                <w:noProof/>
                <w:webHidden/>
              </w:rPr>
            </w:r>
            <w:r>
              <w:rPr>
                <w:noProof/>
                <w:webHidden/>
              </w:rPr>
              <w:fldChar w:fldCharType="separate"/>
            </w:r>
            <w:r>
              <w:rPr>
                <w:noProof/>
                <w:webHidden/>
              </w:rPr>
              <w:t>12</w:t>
            </w:r>
            <w:r>
              <w:rPr>
                <w:noProof/>
                <w:webHidden/>
              </w:rPr>
              <w:fldChar w:fldCharType="end"/>
            </w:r>
          </w:hyperlink>
        </w:p>
        <w:p w14:paraId="63F8455B" w14:textId="6025985F"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39" w:history="1">
            <w:r w:rsidRPr="004F42E4">
              <w:rPr>
                <w:rStyle w:val="Hipervnculo"/>
                <w:b/>
                <w:bCs/>
                <w:noProof/>
              </w:rPr>
              <w:t>2.1 Paso 1:  Identificación Jurídica</w:t>
            </w:r>
            <w:r>
              <w:rPr>
                <w:noProof/>
                <w:webHidden/>
              </w:rPr>
              <w:tab/>
            </w:r>
            <w:r>
              <w:rPr>
                <w:noProof/>
                <w:webHidden/>
              </w:rPr>
              <w:fldChar w:fldCharType="begin"/>
            </w:r>
            <w:r>
              <w:rPr>
                <w:noProof/>
                <w:webHidden/>
              </w:rPr>
              <w:instrText xml:space="preserve"> PAGEREF _Toc228956539 \h </w:instrText>
            </w:r>
            <w:r>
              <w:rPr>
                <w:noProof/>
                <w:webHidden/>
              </w:rPr>
            </w:r>
            <w:r>
              <w:rPr>
                <w:noProof/>
                <w:webHidden/>
              </w:rPr>
              <w:fldChar w:fldCharType="separate"/>
            </w:r>
            <w:r>
              <w:rPr>
                <w:noProof/>
                <w:webHidden/>
              </w:rPr>
              <w:t>13</w:t>
            </w:r>
            <w:r>
              <w:rPr>
                <w:noProof/>
                <w:webHidden/>
              </w:rPr>
              <w:fldChar w:fldCharType="end"/>
            </w:r>
          </w:hyperlink>
        </w:p>
        <w:p w14:paraId="468991DE" w14:textId="250DA087"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0" w:history="1">
            <w:r w:rsidRPr="004F42E4">
              <w:rPr>
                <w:rStyle w:val="Hipervnculo"/>
                <w:b/>
                <w:bCs/>
                <w:noProof/>
              </w:rPr>
              <w:t>2.2 Paso 2: Identificación Técnica</w:t>
            </w:r>
            <w:r>
              <w:rPr>
                <w:noProof/>
                <w:webHidden/>
              </w:rPr>
              <w:tab/>
            </w:r>
            <w:r>
              <w:rPr>
                <w:noProof/>
                <w:webHidden/>
              </w:rPr>
              <w:fldChar w:fldCharType="begin"/>
            </w:r>
            <w:r>
              <w:rPr>
                <w:noProof/>
                <w:webHidden/>
              </w:rPr>
              <w:instrText xml:space="preserve"> PAGEREF _Toc228956540 \h </w:instrText>
            </w:r>
            <w:r>
              <w:rPr>
                <w:noProof/>
                <w:webHidden/>
              </w:rPr>
            </w:r>
            <w:r>
              <w:rPr>
                <w:noProof/>
                <w:webHidden/>
              </w:rPr>
              <w:fldChar w:fldCharType="separate"/>
            </w:r>
            <w:r>
              <w:rPr>
                <w:noProof/>
                <w:webHidden/>
              </w:rPr>
              <w:t>13</w:t>
            </w:r>
            <w:r>
              <w:rPr>
                <w:noProof/>
                <w:webHidden/>
              </w:rPr>
              <w:fldChar w:fldCharType="end"/>
            </w:r>
          </w:hyperlink>
        </w:p>
        <w:p w14:paraId="26ADDB60" w14:textId="65459C0C" w:rsidR="00C04ECD" w:rsidRDefault="00C04ECD">
          <w:pPr>
            <w:pStyle w:val="TDC3"/>
            <w:tabs>
              <w:tab w:val="left" w:pos="960"/>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1" w:history="1">
            <w:r w:rsidRPr="004F42E4">
              <w:rPr>
                <w:rStyle w:val="Hipervnculo"/>
                <w:b/>
                <w:bCs/>
                <w:noProof/>
              </w:rPr>
              <w:t>a.</w:t>
            </w:r>
            <w:r>
              <w:rPr>
                <w:rFonts w:asciiTheme="minorHAnsi" w:eastAsiaTheme="minorEastAsia" w:hAnsiTheme="minorHAnsi" w:cstheme="minorBidi"/>
                <w:noProof/>
                <w:kern w:val="2"/>
                <w:sz w:val="24"/>
                <w:szCs w:val="24"/>
                <w:lang w:val="es-CO"/>
                <w14:ligatures w14:val="standardContextual"/>
              </w:rPr>
              <w:tab/>
            </w:r>
            <w:r w:rsidRPr="004F42E4">
              <w:rPr>
                <w:rStyle w:val="Hipervnculo"/>
                <w:b/>
                <w:bCs/>
                <w:noProof/>
              </w:rPr>
              <w:t>Corroborar con el Plan de Ordenamiento Territorial (POT)</w:t>
            </w:r>
            <w:r>
              <w:rPr>
                <w:noProof/>
                <w:webHidden/>
              </w:rPr>
              <w:tab/>
            </w:r>
            <w:r>
              <w:rPr>
                <w:noProof/>
                <w:webHidden/>
              </w:rPr>
              <w:fldChar w:fldCharType="begin"/>
            </w:r>
            <w:r>
              <w:rPr>
                <w:noProof/>
                <w:webHidden/>
              </w:rPr>
              <w:instrText xml:space="preserve"> PAGEREF _Toc228956541 \h </w:instrText>
            </w:r>
            <w:r>
              <w:rPr>
                <w:noProof/>
                <w:webHidden/>
              </w:rPr>
            </w:r>
            <w:r>
              <w:rPr>
                <w:noProof/>
                <w:webHidden/>
              </w:rPr>
              <w:fldChar w:fldCharType="separate"/>
            </w:r>
            <w:r>
              <w:rPr>
                <w:noProof/>
                <w:webHidden/>
              </w:rPr>
              <w:t>13</w:t>
            </w:r>
            <w:r>
              <w:rPr>
                <w:noProof/>
                <w:webHidden/>
              </w:rPr>
              <w:fldChar w:fldCharType="end"/>
            </w:r>
          </w:hyperlink>
        </w:p>
        <w:p w14:paraId="76C5B0A9" w14:textId="6CD4C709" w:rsidR="00C04ECD" w:rsidRDefault="00C04ECD">
          <w:pPr>
            <w:pStyle w:val="TDC3"/>
            <w:tabs>
              <w:tab w:val="left" w:pos="960"/>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2" w:history="1">
            <w:r w:rsidRPr="004F42E4">
              <w:rPr>
                <w:rStyle w:val="Hipervnculo"/>
                <w:b/>
                <w:bCs/>
                <w:noProof/>
              </w:rPr>
              <w:t>b.</w:t>
            </w:r>
            <w:r>
              <w:rPr>
                <w:rFonts w:asciiTheme="minorHAnsi" w:eastAsiaTheme="minorEastAsia" w:hAnsiTheme="minorHAnsi" w:cstheme="minorBidi"/>
                <w:noProof/>
                <w:kern w:val="2"/>
                <w:sz w:val="24"/>
                <w:szCs w:val="24"/>
                <w:lang w:val="es-CO"/>
                <w14:ligatures w14:val="standardContextual"/>
              </w:rPr>
              <w:tab/>
            </w:r>
            <w:r w:rsidRPr="004F42E4">
              <w:rPr>
                <w:rStyle w:val="Hipervnculo"/>
                <w:b/>
                <w:bCs/>
                <w:noProof/>
              </w:rPr>
              <w:t>Socialización y caracterización predial</w:t>
            </w:r>
            <w:r>
              <w:rPr>
                <w:noProof/>
                <w:webHidden/>
              </w:rPr>
              <w:tab/>
            </w:r>
            <w:r>
              <w:rPr>
                <w:noProof/>
                <w:webHidden/>
              </w:rPr>
              <w:fldChar w:fldCharType="begin"/>
            </w:r>
            <w:r>
              <w:rPr>
                <w:noProof/>
                <w:webHidden/>
              </w:rPr>
              <w:instrText xml:space="preserve"> PAGEREF _Toc228956542 \h </w:instrText>
            </w:r>
            <w:r>
              <w:rPr>
                <w:noProof/>
                <w:webHidden/>
              </w:rPr>
            </w:r>
            <w:r>
              <w:rPr>
                <w:noProof/>
                <w:webHidden/>
              </w:rPr>
              <w:fldChar w:fldCharType="separate"/>
            </w:r>
            <w:r>
              <w:rPr>
                <w:noProof/>
                <w:webHidden/>
              </w:rPr>
              <w:t>14</w:t>
            </w:r>
            <w:r>
              <w:rPr>
                <w:noProof/>
                <w:webHidden/>
              </w:rPr>
              <w:fldChar w:fldCharType="end"/>
            </w:r>
          </w:hyperlink>
        </w:p>
        <w:p w14:paraId="19174BD7" w14:textId="10B2284C" w:rsidR="00C04ECD" w:rsidRDefault="00C04ECD">
          <w:pPr>
            <w:pStyle w:val="TDC3"/>
            <w:tabs>
              <w:tab w:val="left" w:pos="960"/>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3" w:history="1">
            <w:r w:rsidRPr="004F42E4">
              <w:rPr>
                <w:rStyle w:val="Hipervnculo"/>
                <w:b/>
                <w:bCs/>
                <w:noProof/>
              </w:rPr>
              <w:t>c.</w:t>
            </w:r>
            <w:r>
              <w:rPr>
                <w:rFonts w:asciiTheme="minorHAnsi" w:eastAsiaTheme="minorEastAsia" w:hAnsiTheme="minorHAnsi" w:cstheme="minorBidi"/>
                <w:noProof/>
                <w:kern w:val="2"/>
                <w:sz w:val="24"/>
                <w:szCs w:val="24"/>
                <w:lang w:val="es-CO"/>
                <w14:ligatures w14:val="standardContextual"/>
              </w:rPr>
              <w:tab/>
            </w:r>
            <w:r w:rsidRPr="004F42E4">
              <w:rPr>
                <w:rStyle w:val="Hipervnculo"/>
                <w:b/>
                <w:bCs/>
                <w:noProof/>
              </w:rPr>
              <w:t>Identificación física del bien inmueble</w:t>
            </w:r>
            <w:r>
              <w:rPr>
                <w:noProof/>
                <w:webHidden/>
              </w:rPr>
              <w:tab/>
            </w:r>
            <w:r>
              <w:rPr>
                <w:noProof/>
                <w:webHidden/>
              </w:rPr>
              <w:fldChar w:fldCharType="begin"/>
            </w:r>
            <w:r>
              <w:rPr>
                <w:noProof/>
                <w:webHidden/>
              </w:rPr>
              <w:instrText xml:space="preserve"> PAGEREF _Toc228956543 \h </w:instrText>
            </w:r>
            <w:r>
              <w:rPr>
                <w:noProof/>
                <w:webHidden/>
              </w:rPr>
            </w:r>
            <w:r>
              <w:rPr>
                <w:noProof/>
                <w:webHidden/>
              </w:rPr>
              <w:fldChar w:fldCharType="separate"/>
            </w:r>
            <w:r>
              <w:rPr>
                <w:noProof/>
                <w:webHidden/>
              </w:rPr>
              <w:t>14</w:t>
            </w:r>
            <w:r>
              <w:rPr>
                <w:noProof/>
                <w:webHidden/>
              </w:rPr>
              <w:fldChar w:fldCharType="end"/>
            </w:r>
          </w:hyperlink>
        </w:p>
        <w:p w14:paraId="2DC5481B" w14:textId="030570C3"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4" w:history="1">
            <w:r w:rsidRPr="004F42E4">
              <w:rPr>
                <w:rStyle w:val="Hipervnculo"/>
                <w:b/>
                <w:bCs/>
                <w:noProof/>
              </w:rPr>
              <w:t>2.3 Paso 3:  Inicio y trámite de la cesión gratuita</w:t>
            </w:r>
            <w:r>
              <w:rPr>
                <w:noProof/>
                <w:webHidden/>
              </w:rPr>
              <w:tab/>
            </w:r>
            <w:r>
              <w:rPr>
                <w:noProof/>
                <w:webHidden/>
              </w:rPr>
              <w:fldChar w:fldCharType="begin"/>
            </w:r>
            <w:r>
              <w:rPr>
                <w:noProof/>
                <w:webHidden/>
              </w:rPr>
              <w:instrText xml:space="preserve"> PAGEREF _Toc228956544 \h </w:instrText>
            </w:r>
            <w:r>
              <w:rPr>
                <w:noProof/>
                <w:webHidden/>
              </w:rPr>
            </w:r>
            <w:r>
              <w:rPr>
                <w:noProof/>
                <w:webHidden/>
              </w:rPr>
              <w:fldChar w:fldCharType="separate"/>
            </w:r>
            <w:r>
              <w:rPr>
                <w:noProof/>
                <w:webHidden/>
              </w:rPr>
              <w:t>16</w:t>
            </w:r>
            <w:r>
              <w:rPr>
                <w:noProof/>
                <w:webHidden/>
              </w:rPr>
              <w:fldChar w:fldCharType="end"/>
            </w:r>
          </w:hyperlink>
        </w:p>
        <w:p w14:paraId="046BF4DA" w14:textId="24060FF9"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5" w:history="1">
            <w:r w:rsidRPr="004F42E4">
              <w:rPr>
                <w:rStyle w:val="Hipervnculo"/>
                <w:b/>
                <w:bCs/>
                <w:noProof/>
              </w:rPr>
              <w:t>2.4 Paso 4. Verificación y validación de requisitos</w:t>
            </w:r>
            <w:r>
              <w:rPr>
                <w:noProof/>
                <w:webHidden/>
              </w:rPr>
              <w:tab/>
            </w:r>
            <w:r>
              <w:rPr>
                <w:noProof/>
                <w:webHidden/>
              </w:rPr>
              <w:fldChar w:fldCharType="begin"/>
            </w:r>
            <w:r>
              <w:rPr>
                <w:noProof/>
                <w:webHidden/>
              </w:rPr>
              <w:instrText xml:space="preserve"> PAGEREF _Toc228956545 \h </w:instrText>
            </w:r>
            <w:r>
              <w:rPr>
                <w:noProof/>
                <w:webHidden/>
              </w:rPr>
            </w:r>
            <w:r>
              <w:rPr>
                <w:noProof/>
                <w:webHidden/>
              </w:rPr>
              <w:fldChar w:fldCharType="separate"/>
            </w:r>
            <w:r>
              <w:rPr>
                <w:noProof/>
                <w:webHidden/>
              </w:rPr>
              <w:t>17</w:t>
            </w:r>
            <w:r>
              <w:rPr>
                <w:noProof/>
                <w:webHidden/>
              </w:rPr>
              <w:fldChar w:fldCharType="end"/>
            </w:r>
          </w:hyperlink>
        </w:p>
        <w:p w14:paraId="3C9CF5C9" w14:textId="610BD427"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6" w:history="1">
            <w:r w:rsidRPr="004F42E4">
              <w:rPr>
                <w:rStyle w:val="Hipervnculo"/>
                <w:b/>
                <w:bCs/>
                <w:noProof/>
              </w:rPr>
              <w:t>2.5 Paso 5. Expedición de resolución de inicio de la actuación</w:t>
            </w:r>
            <w:r>
              <w:rPr>
                <w:noProof/>
                <w:webHidden/>
              </w:rPr>
              <w:tab/>
            </w:r>
            <w:r>
              <w:rPr>
                <w:noProof/>
                <w:webHidden/>
              </w:rPr>
              <w:fldChar w:fldCharType="begin"/>
            </w:r>
            <w:r>
              <w:rPr>
                <w:noProof/>
                <w:webHidden/>
              </w:rPr>
              <w:instrText xml:space="preserve"> PAGEREF _Toc228956546 \h </w:instrText>
            </w:r>
            <w:r>
              <w:rPr>
                <w:noProof/>
                <w:webHidden/>
              </w:rPr>
            </w:r>
            <w:r>
              <w:rPr>
                <w:noProof/>
                <w:webHidden/>
              </w:rPr>
              <w:fldChar w:fldCharType="separate"/>
            </w:r>
            <w:r>
              <w:rPr>
                <w:noProof/>
                <w:webHidden/>
              </w:rPr>
              <w:t>19</w:t>
            </w:r>
            <w:r>
              <w:rPr>
                <w:noProof/>
                <w:webHidden/>
              </w:rPr>
              <w:fldChar w:fldCharType="end"/>
            </w:r>
          </w:hyperlink>
        </w:p>
        <w:p w14:paraId="6C8DE866" w14:textId="54FF4F22" w:rsidR="00C04ECD" w:rsidRDefault="00C04ECD">
          <w:pPr>
            <w:pStyle w:val="TDC3"/>
            <w:tabs>
              <w:tab w:val="left" w:pos="960"/>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7" w:history="1">
            <w:r w:rsidRPr="004F42E4">
              <w:rPr>
                <w:rStyle w:val="Hipervnculo"/>
                <w:rFonts w:ascii="Times New Roman" w:eastAsia="Noto Sans Symbols" w:hAnsi="Times New Roman" w:cs="Times New Roman"/>
                <w:bCs/>
                <w:noProof/>
              </w:rPr>
              <w:t>●</w:t>
            </w:r>
            <w:r>
              <w:rPr>
                <w:rFonts w:asciiTheme="minorHAnsi" w:eastAsiaTheme="minorEastAsia" w:hAnsiTheme="minorHAnsi" w:cstheme="minorBidi"/>
                <w:noProof/>
                <w:kern w:val="2"/>
                <w:sz w:val="24"/>
                <w:szCs w:val="24"/>
                <w:lang w:val="es-CO"/>
                <w14:ligatures w14:val="standardContextual"/>
              </w:rPr>
              <w:tab/>
            </w:r>
            <w:r w:rsidRPr="004F42E4">
              <w:rPr>
                <w:rStyle w:val="Hipervnculo"/>
                <w:b/>
                <w:bCs/>
                <w:noProof/>
              </w:rPr>
              <w:t>Contenido de la resolución</w:t>
            </w:r>
            <w:r>
              <w:rPr>
                <w:noProof/>
                <w:webHidden/>
              </w:rPr>
              <w:tab/>
            </w:r>
            <w:r>
              <w:rPr>
                <w:noProof/>
                <w:webHidden/>
              </w:rPr>
              <w:fldChar w:fldCharType="begin"/>
            </w:r>
            <w:r>
              <w:rPr>
                <w:noProof/>
                <w:webHidden/>
              </w:rPr>
              <w:instrText xml:space="preserve"> PAGEREF _Toc228956547 \h </w:instrText>
            </w:r>
            <w:r>
              <w:rPr>
                <w:noProof/>
                <w:webHidden/>
              </w:rPr>
            </w:r>
            <w:r>
              <w:rPr>
                <w:noProof/>
                <w:webHidden/>
              </w:rPr>
              <w:fldChar w:fldCharType="separate"/>
            </w:r>
            <w:r>
              <w:rPr>
                <w:noProof/>
                <w:webHidden/>
              </w:rPr>
              <w:t>19</w:t>
            </w:r>
            <w:r>
              <w:rPr>
                <w:noProof/>
                <w:webHidden/>
              </w:rPr>
              <w:fldChar w:fldCharType="end"/>
            </w:r>
          </w:hyperlink>
        </w:p>
        <w:p w14:paraId="1B197CBB" w14:textId="478C009B" w:rsidR="00C04ECD" w:rsidRDefault="00C04ECD">
          <w:pPr>
            <w:pStyle w:val="TDC3"/>
            <w:tabs>
              <w:tab w:val="left" w:pos="960"/>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8" w:history="1">
            <w:r w:rsidRPr="004F42E4">
              <w:rPr>
                <w:rStyle w:val="Hipervnculo"/>
                <w:rFonts w:ascii="Times New Roman" w:eastAsia="Noto Sans Symbols" w:hAnsi="Times New Roman" w:cs="Times New Roman"/>
                <w:bCs/>
                <w:noProof/>
              </w:rPr>
              <w:t>●</w:t>
            </w:r>
            <w:r>
              <w:rPr>
                <w:rFonts w:asciiTheme="minorHAnsi" w:eastAsiaTheme="minorEastAsia" w:hAnsiTheme="minorHAnsi" w:cstheme="minorBidi"/>
                <w:noProof/>
                <w:kern w:val="2"/>
                <w:sz w:val="24"/>
                <w:szCs w:val="24"/>
                <w:lang w:val="es-CO"/>
                <w14:ligatures w14:val="standardContextual"/>
              </w:rPr>
              <w:tab/>
            </w:r>
            <w:r w:rsidRPr="004F42E4">
              <w:rPr>
                <w:rStyle w:val="Hipervnculo"/>
                <w:b/>
                <w:bCs/>
                <w:noProof/>
              </w:rPr>
              <w:t>Publicidad de la resolución</w:t>
            </w:r>
            <w:r>
              <w:rPr>
                <w:noProof/>
                <w:webHidden/>
              </w:rPr>
              <w:tab/>
            </w:r>
            <w:r>
              <w:rPr>
                <w:noProof/>
                <w:webHidden/>
              </w:rPr>
              <w:fldChar w:fldCharType="begin"/>
            </w:r>
            <w:r>
              <w:rPr>
                <w:noProof/>
                <w:webHidden/>
              </w:rPr>
              <w:instrText xml:space="preserve"> PAGEREF _Toc228956548 \h </w:instrText>
            </w:r>
            <w:r>
              <w:rPr>
                <w:noProof/>
                <w:webHidden/>
              </w:rPr>
            </w:r>
            <w:r>
              <w:rPr>
                <w:noProof/>
                <w:webHidden/>
              </w:rPr>
              <w:fldChar w:fldCharType="separate"/>
            </w:r>
            <w:r>
              <w:rPr>
                <w:noProof/>
                <w:webHidden/>
              </w:rPr>
              <w:t>20</w:t>
            </w:r>
            <w:r>
              <w:rPr>
                <w:noProof/>
                <w:webHidden/>
              </w:rPr>
              <w:fldChar w:fldCharType="end"/>
            </w:r>
          </w:hyperlink>
        </w:p>
        <w:p w14:paraId="3BD2C629" w14:textId="5DF7661C" w:rsidR="00C04ECD" w:rsidRDefault="00C04ECD">
          <w:pPr>
            <w:pStyle w:val="TDC3"/>
            <w:tabs>
              <w:tab w:val="left" w:pos="960"/>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49" w:history="1">
            <w:r w:rsidRPr="004F42E4">
              <w:rPr>
                <w:rStyle w:val="Hipervnculo"/>
                <w:rFonts w:ascii="Times New Roman" w:eastAsia="Noto Sans Symbols" w:hAnsi="Times New Roman" w:cs="Times New Roman"/>
                <w:bCs/>
                <w:noProof/>
              </w:rPr>
              <w:t>●</w:t>
            </w:r>
            <w:r>
              <w:rPr>
                <w:rFonts w:asciiTheme="minorHAnsi" w:eastAsiaTheme="minorEastAsia" w:hAnsiTheme="minorHAnsi" w:cstheme="minorBidi"/>
                <w:noProof/>
                <w:kern w:val="2"/>
                <w:sz w:val="24"/>
                <w:szCs w:val="24"/>
                <w:lang w:val="es-CO"/>
                <w14:ligatures w14:val="standardContextual"/>
              </w:rPr>
              <w:tab/>
            </w:r>
            <w:r w:rsidRPr="004F42E4">
              <w:rPr>
                <w:rStyle w:val="Hipervnculo"/>
                <w:b/>
                <w:bCs/>
                <w:noProof/>
              </w:rPr>
              <w:t>Trámite de oposición de terceros</w:t>
            </w:r>
            <w:r>
              <w:rPr>
                <w:noProof/>
                <w:webHidden/>
              </w:rPr>
              <w:tab/>
            </w:r>
            <w:r>
              <w:rPr>
                <w:noProof/>
                <w:webHidden/>
              </w:rPr>
              <w:fldChar w:fldCharType="begin"/>
            </w:r>
            <w:r>
              <w:rPr>
                <w:noProof/>
                <w:webHidden/>
              </w:rPr>
              <w:instrText xml:space="preserve"> PAGEREF _Toc228956549 \h </w:instrText>
            </w:r>
            <w:r>
              <w:rPr>
                <w:noProof/>
                <w:webHidden/>
              </w:rPr>
            </w:r>
            <w:r>
              <w:rPr>
                <w:noProof/>
                <w:webHidden/>
              </w:rPr>
              <w:fldChar w:fldCharType="separate"/>
            </w:r>
            <w:r>
              <w:rPr>
                <w:noProof/>
                <w:webHidden/>
              </w:rPr>
              <w:t>20</w:t>
            </w:r>
            <w:r>
              <w:rPr>
                <w:noProof/>
                <w:webHidden/>
              </w:rPr>
              <w:fldChar w:fldCharType="end"/>
            </w:r>
          </w:hyperlink>
        </w:p>
        <w:p w14:paraId="2008DD86" w14:textId="012624A9"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0" w:history="1">
            <w:r w:rsidRPr="004F42E4">
              <w:rPr>
                <w:rStyle w:val="Hipervnculo"/>
                <w:b/>
                <w:bCs/>
                <w:noProof/>
              </w:rPr>
              <w:t>2.6 Paso 6:  Acto administrativo de cesión a título gratuito</w:t>
            </w:r>
            <w:r>
              <w:rPr>
                <w:noProof/>
                <w:webHidden/>
              </w:rPr>
              <w:tab/>
            </w:r>
            <w:r>
              <w:rPr>
                <w:noProof/>
                <w:webHidden/>
              </w:rPr>
              <w:fldChar w:fldCharType="begin"/>
            </w:r>
            <w:r>
              <w:rPr>
                <w:noProof/>
                <w:webHidden/>
              </w:rPr>
              <w:instrText xml:space="preserve"> PAGEREF _Toc228956550 \h </w:instrText>
            </w:r>
            <w:r>
              <w:rPr>
                <w:noProof/>
                <w:webHidden/>
              </w:rPr>
            </w:r>
            <w:r>
              <w:rPr>
                <w:noProof/>
                <w:webHidden/>
              </w:rPr>
              <w:fldChar w:fldCharType="separate"/>
            </w:r>
            <w:r>
              <w:rPr>
                <w:noProof/>
                <w:webHidden/>
              </w:rPr>
              <w:t>20</w:t>
            </w:r>
            <w:r>
              <w:rPr>
                <w:noProof/>
                <w:webHidden/>
              </w:rPr>
              <w:fldChar w:fldCharType="end"/>
            </w:r>
          </w:hyperlink>
        </w:p>
        <w:p w14:paraId="0F27343A" w14:textId="0823B1CB"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1" w:history="1">
            <w:r w:rsidRPr="004F42E4">
              <w:rPr>
                <w:rStyle w:val="Hipervnculo"/>
                <w:b/>
                <w:bCs/>
                <w:noProof/>
              </w:rPr>
              <w:t>2.7 Paso 7. Actualización del Inventario y Remisión al Gestor Catastral</w:t>
            </w:r>
            <w:r>
              <w:rPr>
                <w:noProof/>
                <w:webHidden/>
              </w:rPr>
              <w:tab/>
            </w:r>
            <w:r>
              <w:rPr>
                <w:noProof/>
                <w:webHidden/>
              </w:rPr>
              <w:fldChar w:fldCharType="begin"/>
            </w:r>
            <w:r>
              <w:rPr>
                <w:noProof/>
                <w:webHidden/>
              </w:rPr>
              <w:instrText xml:space="preserve"> PAGEREF _Toc228956551 \h </w:instrText>
            </w:r>
            <w:r>
              <w:rPr>
                <w:noProof/>
                <w:webHidden/>
              </w:rPr>
            </w:r>
            <w:r>
              <w:rPr>
                <w:noProof/>
                <w:webHidden/>
              </w:rPr>
              <w:fldChar w:fldCharType="separate"/>
            </w:r>
            <w:r>
              <w:rPr>
                <w:noProof/>
                <w:webHidden/>
              </w:rPr>
              <w:t>21</w:t>
            </w:r>
            <w:r>
              <w:rPr>
                <w:noProof/>
                <w:webHidden/>
              </w:rPr>
              <w:fldChar w:fldCharType="end"/>
            </w:r>
          </w:hyperlink>
        </w:p>
        <w:p w14:paraId="6E0B40AD" w14:textId="2C47B13D" w:rsidR="00C04ECD" w:rsidRDefault="00C04ECD">
          <w:pPr>
            <w:pStyle w:val="TDC3"/>
            <w:tabs>
              <w:tab w:val="left" w:pos="960"/>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2" w:history="1">
            <w:r w:rsidRPr="004F42E4">
              <w:rPr>
                <w:rStyle w:val="Hipervnculo"/>
                <w:rFonts w:ascii="Times New Roman" w:eastAsia="Noto Sans Symbols" w:hAnsi="Times New Roman" w:cs="Times New Roman"/>
                <w:bCs/>
                <w:noProof/>
              </w:rPr>
              <w:t>●</w:t>
            </w:r>
            <w:r>
              <w:rPr>
                <w:rFonts w:asciiTheme="minorHAnsi" w:eastAsiaTheme="minorEastAsia" w:hAnsiTheme="minorHAnsi" w:cstheme="minorBidi"/>
                <w:noProof/>
                <w:kern w:val="2"/>
                <w:sz w:val="24"/>
                <w:szCs w:val="24"/>
                <w:lang w:val="es-CO"/>
                <w14:ligatures w14:val="standardContextual"/>
              </w:rPr>
              <w:tab/>
            </w:r>
            <w:r w:rsidRPr="004F42E4">
              <w:rPr>
                <w:rStyle w:val="Hipervnculo"/>
                <w:b/>
                <w:bCs/>
                <w:noProof/>
              </w:rPr>
              <w:t>Terminación del procedimiento</w:t>
            </w:r>
            <w:r>
              <w:rPr>
                <w:noProof/>
                <w:webHidden/>
              </w:rPr>
              <w:tab/>
            </w:r>
            <w:r>
              <w:rPr>
                <w:noProof/>
                <w:webHidden/>
              </w:rPr>
              <w:fldChar w:fldCharType="begin"/>
            </w:r>
            <w:r>
              <w:rPr>
                <w:noProof/>
                <w:webHidden/>
              </w:rPr>
              <w:instrText xml:space="preserve"> PAGEREF _Toc228956552 \h </w:instrText>
            </w:r>
            <w:r>
              <w:rPr>
                <w:noProof/>
                <w:webHidden/>
              </w:rPr>
            </w:r>
            <w:r>
              <w:rPr>
                <w:noProof/>
                <w:webHidden/>
              </w:rPr>
              <w:fldChar w:fldCharType="separate"/>
            </w:r>
            <w:r>
              <w:rPr>
                <w:noProof/>
                <w:webHidden/>
              </w:rPr>
              <w:t>22</w:t>
            </w:r>
            <w:r>
              <w:rPr>
                <w:noProof/>
                <w:webHidden/>
              </w:rPr>
              <w:fldChar w:fldCharType="end"/>
            </w:r>
          </w:hyperlink>
        </w:p>
        <w:p w14:paraId="40BD221C" w14:textId="75D1FAE3" w:rsidR="00C04ECD" w:rsidRDefault="00C04ECD">
          <w:pPr>
            <w:pStyle w:val="TDC1"/>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3" w:history="1">
            <w:r w:rsidRPr="004F42E4">
              <w:rPr>
                <w:rStyle w:val="Hipervnculo"/>
                <w:b/>
                <w:bCs/>
                <w:noProof/>
              </w:rPr>
              <w:t>Glosario</w:t>
            </w:r>
            <w:r>
              <w:rPr>
                <w:noProof/>
                <w:webHidden/>
              </w:rPr>
              <w:tab/>
            </w:r>
            <w:r>
              <w:rPr>
                <w:noProof/>
                <w:webHidden/>
              </w:rPr>
              <w:fldChar w:fldCharType="begin"/>
            </w:r>
            <w:r>
              <w:rPr>
                <w:noProof/>
                <w:webHidden/>
              </w:rPr>
              <w:instrText xml:space="preserve"> PAGEREF _Toc228956553 \h </w:instrText>
            </w:r>
            <w:r>
              <w:rPr>
                <w:noProof/>
                <w:webHidden/>
              </w:rPr>
            </w:r>
            <w:r>
              <w:rPr>
                <w:noProof/>
                <w:webHidden/>
              </w:rPr>
              <w:fldChar w:fldCharType="separate"/>
            </w:r>
            <w:r>
              <w:rPr>
                <w:noProof/>
                <w:webHidden/>
              </w:rPr>
              <w:t>24</w:t>
            </w:r>
            <w:r>
              <w:rPr>
                <w:noProof/>
                <w:webHidden/>
              </w:rPr>
              <w:fldChar w:fldCharType="end"/>
            </w:r>
          </w:hyperlink>
        </w:p>
        <w:p w14:paraId="32D2705A" w14:textId="003CF2BC" w:rsidR="00C04ECD" w:rsidRDefault="00C04ECD">
          <w:pPr>
            <w:pStyle w:val="TDC1"/>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4" w:history="1">
            <w:r w:rsidRPr="004F42E4">
              <w:rPr>
                <w:rStyle w:val="Hipervnculo"/>
                <w:b/>
                <w:bCs/>
                <w:noProof/>
              </w:rPr>
              <w:t>Anexos</w:t>
            </w:r>
            <w:r>
              <w:rPr>
                <w:noProof/>
                <w:webHidden/>
              </w:rPr>
              <w:tab/>
            </w:r>
            <w:r>
              <w:rPr>
                <w:noProof/>
                <w:webHidden/>
              </w:rPr>
              <w:fldChar w:fldCharType="begin"/>
            </w:r>
            <w:r>
              <w:rPr>
                <w:noProof/>
                <w:webHidden/>
              </w:rPr>
              <w:instrText xml:space="preserve"> PAGEREF _Toc228956554 \h </w:instrText>
            </w:r>
            <w:r>
              <w:rPr>
                <w:noProof/>
                <w:webHidden/>
              </w:rPr>
            </w:r>
            <w:r>
              <w:rPr>
                <w:noProof/>
                <w:webHidden/>
              </w:rPr>
              <w:fldChar w:fldCharType="separate"/>
            </w:r>
            <w:r>
              <w:rPr>
                <w:noProof/>
                <w:webHidden/>
              </w:rPr>
              <w:t>26</w:t>
            </w:r>
            <w:r>
              <w:rPr>
                <w:noProof/>
                <w:webHidden/>
              </w:rPr>
              <w:fldChar w:fldCharType="end"/>
            </w:r>
          </w:hyperlink>
        </w:p>
        <w:p w14:paraId="4E2D00EA" w14:textId="480E922E"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5" w:history="1">
            <w:r w:rsidRPr="004F42E4">
              <w:rPr>
                <w:rStyle w:val="Hipervnculo"/>
                <w:b/>
                <w:bCs/>
                <w:noProof/>
              </w:rPr>
              <w:t>Anexo N° 1. Tabla de normatividad aplicable</w:t>
            </w:r>
            <w:r>
              <w:rPr>
                <w:noProof/>
                <w:webHidden/>
              </w:rPr>
              <w:tab/>
            </w:r>
            <w:r>
              <w:rPr>
                <w:noProof/>
                <w:webHidden/>
              </w:rPr>
              <w:fldChar w:fldCharType="begin"/>
            </w:r>
            <w:r>
              <w:rPr>
                <w:noProof/>
                <w:webHidden/>
              </w:rPr>
              <w:instrText xml:space="preserve"> PAGEREF _Toc228956555 \h </w:instrText>
            </w:r>
            <w:r>
              <w:rPr>
                <w:noProof/>
                <w:webHidden/>
              </w:rPr>
            </w:r>
            <w:r>
              <w:rPr>
                <w:noProof/>
                <w:webHidden/>
              </w:rPr>
              <w:fldChar w:fldCharType="separate"/>
            </w:r>
            <w:r>
              <w:rPr>
                <w:noProof/>
                <w:webHidden/>
              </w:rPr>
              <w:t>26</w:t>
            </w:r>
            <w:r>
              <w:rPr>
                <w:noProof/>
                <w:webHidden/>
              </w:rPr>
              <w:fldChar w:fldCharType="end"/>
            </w:r>
          </w:hyperlink>
        </w:p>
        <w:p w14:paraId="2F88F124" w14:textId="21218D64"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6" w:history="1">
            <w:r w:rsidRPr="004F42E4">
              <w:rPr>
                <w:rStyle w:val="Hipervnculo"/>
                <w:b/>
                <w:bCs/>
                <w:noProof/>
              </w:rPr>
              <w:t>Anexo N° 2. Modelo acto administrativo de cesión a título gratuito de bienes fiscales a particulares</w:t>
            </w:r>
            <w:r>
              <w:rPr>
                <w:noProof/>
                <w:webHidden/>
              </w:rPr>
              <w:tab/>
            </w:r>
            <w:r>
              <w:rPr>
                <w:noProof/>
                <w:webHidden/>
              </w:rPr>
              <w:fldChar w:fldCharType="begin"/>
            </w:r>
            <w:r>
              <w:rPr>
                <w:noProof/>
                <w:webHidden/>
              </w:rPr>
              <w:instrText xml:space="preserve"> PAGEREF _Toc228956556 \h </w:instrText>
            </w:r>
            <w:r>
              <w:rPr>
                <w:noProof/>
                <w:webHidden/>
              </w:rPr>
            </w:r>
            <w:r>
              <w:rPr>
                <w:noProof/>
                <w:webHidden/>
              </w:rPr>
              <w:fldChar w:fldCharType="separate"/>
            </w:r>
            <w:r>
              <w:rPr>
                <w:noProof/>
                <w:webHidden/>
              </w:rPr>
              <w:t>28</w:t>
            </w:r>
            <w:r>
              <w:rPr>
                <w:noProof/>
                <w:webHidden/>
              </w:rPr>
              <w:fldChar w:fldCharType="end"/>
            </w:r>
          </w:hyperlink>
        </w:p>
        <w:p w14:paraId="3397CDA4" w14:textId="0DAA613C"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7" w:history="1">
            <w:r w:rsidRPr="004F42E4">
              <w:rPr>
                <w:rStyle w:val="Hipervnculo"/>
                <w:b/>
                <w:bCs/>
                <w:noProof/>
              </w:rPr>
              <w:t>Anexo N° 3. Check list de verificación de requisitos previos</w:t>
            </w:r>
            <w:r>
              <w:rPr>
                <w:noProof/>
                <w:webHidden/>
              </w:rPr>
              <w:tab/>
            </w:r>
            <w:r>
              <w:rPr>
                <w:noProof/>
                <w:webHidden/>
              </w:rPr>
              <w:fldChar w:fldCharType="begin"/>
            </w:r>
            <w:r>
              <w:rPr>
                <w:noProof/>
                <w:webHidden/>
              </w:rPr>
              <w:instrText xml:space="preserve"> PAGEREF _Toc228956557 \h </w:instrText>
            </w:r>
            <w:r>
              <w:rPr>
                <w:noProof/>
                <w:webHidden/>
              </w:rPr>
            </w:r>
            <w:r>
              <w:rPr>
                <w:noProof/>
                <w:webHidden/>
              </w:rPr>
              <w:fldChar w:fldCharType="separate"/>
            </w:r>
            <w:r>
              <w:rPr>
                <w:noProof/>
                <w:webHidden/>
              </w:rPr>
              <w:t>29</w:t>
            </w:r>
            <w:r>
              <w:rPr>
                <w:noProof/>
                <w:webHidden/>
              </w:rPr>
              <w:fldChar w:fldCharType="end"/>
            </w:r>
          </w:hyperlink>
        </w:p>
        <w:p w14:paraId="61B8E511" w14:textId="0BA21C20"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8" w:history="1">
            <w:r w:rsidRPr="004F42E4">
              <w:rPr>
                <w:rStyle w:val="Hipervnculo"/>
                <w:b/>
                <w:bCs/>
                <w:noProof/>
              </w:rPr>
              <w:t>Anexo N° 4. Infografía General</w:t>
            </w:r>
            <w:r>
              <w:rPr>
                <w:noProof/>
                <w:webHidden/>
              </w:rPr>
              <w:tab/>
            </w:r>
            <w:r>
              <w:rPr>
                <w:noProof/>
                <w:webHidden/>
              </w:rPr>
              <w:fldChar w:fldCharType="begin"/>
            </w:r>
            <w:r>
              <w:rPr>
                <w:noProof/>
                <w:webHidden/>
              </w:rPr>
              <w:instrText xml:space="preserve"> PAGEREF _Toc228956558 \h </w:instrText>
            </w:r>
            <w:r>
              <w:rPr>
                <w:noProof/>
                <w:webHidden/>
              </w:rPr>
            </w:r>
            <w:r>
              <w:rPr>
                <w:noProof/>
                <w:webHidden/>
              </w:rPr>
              <w:fldChar w:fldCharType="separate"/>
            </w:r>
            <w:r>
              <w:rPr>
                <w:noProof/>
                <w:webHidden/>
              </w:rPr>
              <w:t>30</w:t>
            </w:r>
            <w:r>
              <w:rPr>
                <w:noProof/>
                <w:webHidden/>
              </w:rPr>
              <w:fldChar w:fldCharType="end"/>
            </w:r>
          </w:hyperlink>
        </w:p>
        <w:p w14:paraId="0D38AAE0" w14:textId="3EDACEE0" w:rsidR="00C04ECD" w:rsidRDefault="00C04ECD">
          <w:pPr>
            <w:pStyle w:val="TDC2"/>
            <w:tabs>
              <w:tab w:val="right" w:leader="dot" w:pos="9042"/>
            </w:tabs>
            <w:rPr>
              <w:rFonts w:asciiTheme="minorHAnsi" w:eastAsiaTheme="minorEastAsia" w:hAnsiTheme="minorHAnsi" w:cstheme="minorBidi"/>
              <w:noProof/>
              <w:kern w:val="2"/>
              <w:sz w:val="24"/>
              <w:szCs w:val="24"/>
              <w:lang w:val="es-CO"/>
              <w14:ligatures w14:val="standardContextual"/>
            </w:rPr>
          </w:pPr>
          <w:hyperlink w:anchor="_Toc228956559" w:history="1">
            <w:r w:rsidRPr="004F42E4">
              <w:rPr>
                <w:rStyle w:val="Hipervnculo"/>
                <w:b/>
                <w:bCs/>
                <w:noProof/>
              </w:rPr>
              <w:t>Anexo N° 5. – Modelo estudio de títulos</w:t>
            </w:r>
            <w:r>
              <w:rPr>
                <w:noProof/>
                <w:webHidden/>
              </w:rPr>
              <w:tab/>
            </w:r>
            <w:r>
              <w:rPr>
                <w:noProof/>
                <w:webHidden/>
              </w:rPr>
              <w:fldChar w:fldCharType="begin"/>
            </w:r>
            <w:r>
              <w:rPr>
                <w:noProof/>
                <w:webHidden/>
              </w:rPr>
              <w:instrText xml:space="preserve"> PAGEREF _Toc228956559 \h </w:instrText>
            </w:r>
            <w:r>
              <w:rPr>
                <w:noProof/>
                <w:webHidden/>
              </w:rPr>
            </w:r>
            <w:r>
              <w:rPr>
                <w:noProof/>
                <w:webHidden/>
              </w:rPr>
              <w:fldChar w:fldCharType="separate"/>
            </w:r>
            <w:r>
              <w:rPr>
                <w:noProof/>
                <w:webHidden/>
              </w:rPr>
              <w:t>31</w:t>
            </w:r>
            <w:r>
              <w:rPr>
                <w:noProof/>
                <w:webHidden/>
              </w:rPr>
              <w:fldChar w:fldCharType="end"/>
            </w:r>
          </w:hyperlink>
        </w:p>
        <w:p w14:paraId="6D9C4494" w14:textId="520003DA" w:rsidR="00693B66" w:rsidRDefault="00693B66">
          <w:r>
            <w:rPr>
              <w:b/>
              <w:bCs/>
              <w:lang w:val="es-ES"/>
            </w:rPr>
            <w:fldChar w:fldCharType="end"/>
          </w:r>
        </w:p>
      </w:sdtContent>
    </w:sdt>
    <w:p w14:paraId="74C1D154" w14:textId="77777777" w:rsidR="00CF2C82" w:rsidRDefault="00CF2C82">
      <w:pPr>
        <w:pStyle w:val="Ttulo1"/>
        <w:rPr>
          <w:b/>
          <w:bCs/>
          <w:sz w:val="24"/>
          <w:szCs w:val="24"/>
        </w:rPr>
      </w:pPr>
    </w:p>
    <w:p w14:paraId="74C1D155" w14:textId="77777777" w:rsidR="00CF2C82" w:rsidRDefault="00CF2C82">
      <w:pPr>
        <w:pBdr>
          <w:top w:val="nil"/>
          <w:left w:val="nil"/>
          <w:bottom w:val="nil"/>
          <w:right w:val="nil"/>
          <w:between w:val="nil"/>
        </w:pBdr>
        <w:tabs>
          <w:tab w:val="right" w:pos="9042"/>
        </w:tabs>
        <w:rPr>
          <w:rFonts w:ascii="Cambria" w:eastAsia="Cambria" w:hAnsi="Cambria" w:cs="Cambria"/>
          <w:b/>
          <w:bCs/>
          <w:i/>
          <w:iCs/>
          <w:color w:val="000000"/>
          <w:sz w:val="24"/>
          <w:szCs w:val="24"/>
        </w:rPr>
      </w:pPr>
    </w:p>
    <w:p w14:paraId="74C1D156" w14:textId="77777777" w:rsidR="00CF2C82" w:rsidRDefault="00CF2C82"/>
    <w:p w14:paraId="74C1D157" w14:textId="77777777" w:rsidR="00CF2C82" w:rsidRDefault="00CF2C82"/>
    <w:p w14:paraId="2D01813C" w14:textId="77777777" w:rsidR="0020496A" w:rsidRDefault="0020496A">
      <w:pPr>
        <w:rPr>
          <w:b/>
          <w:bCs/>
          <w:sz w:val="24"/>
          <w:szCs w:val="24"/>
        </w:rPr>
      </w:pPr>
    </w:p>
    <w:p w14:paraId="74C1D158" w14:textId="20CB2970" w:rsidR="00CF2C82" w:rsidRDefault="009F54A0">
      <w:pPr>
        <w:rPr>
          <w:b/>
          <w:bCs/>
          <w:sz w:val="24"/>
          <w:szCs w:val="24"/>
        </w:rPr>
      </w:pPr>
      <w:r>
        <w:rPr>
          <w:b/>
          <w:bCs/>
          <w:sz w:val="24"/>
          <w:szCs w:val="24"/>
        </w:rPr>
        <w:t>Índice de Gráficas</w:t>
      </w:r>
    </w:p>
    <w:p w14:paraId="74C1D159" w14:textId="77777777" w:rsidR="00CF2C82" w:rsidRDefault="00CF2C82">
      <w:pPr>
        <w:pBdr>
          <w:top w:val="nil"/>
          <w:left w:val="nil"/>
          <w:bottom w:val="nil"/>
          <w:right w:val="nil"/>
          <w:between w:val="nil"/>
        </w:pBdr>
        <w:tabs>
          <w:tab w:val="right" w:pos="9042"/>
        </w:tabs>
        <w:rPr>
          <w:rFonts w:ascii="Cambria" w:eastAsia="Cambria" w:hAnsi="Cambria" w:cs="Cambria"/>
          <w:b/>
          <w:bCs/>
          <w:i/>
          <w:iCs/>
          <w:color w:val="000000"/>
          <w:sz w:val="24"/>
          <w:szCs w:val="24"/>
        </w:rPr>
      </w:pPr>
    </w:p>
    <w:p w14:paraId="74C1D15A" w14:textId="77777777" w:rsidR="00CF2C82" w:rsidRDefault="00CF2C82">
      <w:pPr>
        <w:pBdr>
          <w:top w:val="nil"/>
          <w:left w:val="nil"/>
          <w:bottom w:val="nil"/>
          <w:right w:val="nil"/>
          <w:between w:val="nil"/>
        </w:pBdr>
        <w:tabs>
          <w:tab w:val="right" w:pos="9042"/>
        </w:tabs>
        <w:rPr>
          <w:rFonts w:ascii="Cambria" w:eastAsia="Cambria" w:hAnsi="Cambria" w:cs="Cambria"/>
          <w:b/>
          <w:bCs/>
          <w:i/>
          <w:iCs/>
          <w:color w:val="000000"/>
          <w:sz w:val="24"/>
          <w:szCs w:val="24"/>
        </w:rPr>
      </w:pPr>
    </w:p>
    <w:sdt>
      <w:sdtPr>
        <w:rPr>
          <w:sz w:val="40"/>
          <w:szCs w:val="40"/>
        </w:rPr>
        <w:id w:val="131115850"/>
        <w:docPartObj>
          <w:docPartGallery w:val="Table of Contents"/>
          <w:docPartUnique/>
        </w:docPartObj>
      </w:sdtPr>
      <w:sdtContent>
        <w:p w14:paraId="74C1D15B" w14:textId="77777777" w:rsidR="00CF2C82" w:rsidRDefault="009F54A0">
          <w:pPr>
            <w:pBdr>
              <w:top w:val="nil"/>
              <w:left w:val="nil"/>
              <w:bottom w:val="nil"/>
              <w:right w:val="nil"/>
              <w:between w:val="nil"/>
            </w:pBdr>
            <w:tabs>
              <w:tab w:val="right" w:pos="9042"/>
            </w:tabs>
            <w:rPr>
              <w:b/>
              <w:bCs/>
              <w:color w:val="000000"/>
              <w:sz w:val="24"/>
              <w:szCs w:val="24"/>
            </w:rPr>
          </w:pPr>
          <w:r>
            <w:fldChar w:fldCharType="begin"/>
          </w:r>
          <w:r>
            <w:instrText xml:space="preserve"> TOC \h \u \z \t "Heading 1,1,Heading 2,2,Heading 3,3,Heading 4,4,Heading 5,5,Heading 6,6,"</w:instrText>
          </w:r>
          <w:r>
            <w:fldChar w:fldCharType="separate"/>
          </w:r>
          <w:hyperlink w:anchor="_heading=h.shrzx2bgvbl5">
            <w:r>
              <w:rPr>
                <w:b/>
                <w:bCs/>
                <w:color w:val="000000"/>
                <w:sz w:val="24"/>
                <w:szCs w:val="24"/>
              </w:rPr>
              <w:t>Gráfica No.  1. El KIT de herramientas Ciudata+ para la gestión, administración y formalización del patrimonio inmobiliario municipal</w:t>
            </w:r>
            <w:r>
              <w:rPr>
                <w:b/>
                <w:bCs/>
                <w:color w:val="000000"/>
                <w:sz w:val="24"/>
                <w:szCs w:val="24"/>
              </w:rPr>
              <w:tab/>
              <w:t>8</w:t>
            </w:r>
          </w:hyperlink>
        </w:p>
        <w:p w14:paraId="74C1D15C" w14:textId="77777777" w:rsidR="00CF2C82" w:rsidRDefault="009F54A0">
          <w:pPr>
            <w:pBdr>
              <w:top w:val="nil"/>
              <w:left w:val="nil"/>
              <w:bottom w:val="nil"/>
              <w:right w:val="nil"/>
              <w:between w:val="nil"/>
            </w:pBdr>
            <w:tabs>
              <w:tab w:val="right" w:pos="9042"/>
            </w:tabs>
            <w:rPr>
              <w:b/>
              <w:bCs/>
              <w:color w:val="000000"/>
              <w:sz w:val="24"/>
              <w:szCs w:val="24"/>
            </w:rPr>
          </w:pPr>
          <w:hyperlink w:anchor="_heading=h.bqoxxit1zhzb">
            <w:r>
              <w:rPr>
                <w:b/>
                <w:bCs/>
                <w:color w:val="000000"/>
                <w:sz w:val="24"/>
                <w:szCs w:val="24"/>
              </w:rPr>
              <w:t>Gráfica No.  2. Pasos para el proceso de cesión a título gratuito de bienes fiscales a particulares</w:t>
            </w:r>
            <w:r>
              <w:rPr>
                <w:b/>
                <w:bCs/>
                <w:color w:val="000000"/>
                <w:sz w:val="24"/>
                <w:szCs w:val="24"/>
              </w:rPr>
              <w:tab/>
              <w:t>13</w:t>
            </w:r>
          </w:hyperlink>
        </w:p>
        <w:p w14:paraId="74C1D15D" w14:textId="77777777" w:rsidR="00CF2C82" w:rsidRDefault="009F54A0">
          <w:pPr>
            <w:pBdr>
              <w:top w:val="nil"/>
              <w:left w:val="nil"/>
              <w:bottom w:val="nil"/>
              <w:right w:val="nil"/>
              <w:between w:val="nil"/>
            </w:pBdr>
            <w:tabs>
              <w:tab w:val="right" w:pos="9042"/>
            </w:tabs>
            <w:rPr>
              <w:b/>
              <w:bCs/>
              <w:color w:val="000000"/>
              <w:sz w:val="24"/>
              <w:szCs w:val="24"/>
            </w:rPr>
          </w:pPr>
          <w:hyperlink w:anchor="_heading=h.uf1gk1imnkz3">
            <w:r>
              <w:rPr>
                <w:b/>
                <w:bCs/>
                <w:color w:val="000000"/>
                <w:sz w:val="24"/>
                <w:szCs w:val="24"/>
              </w:rPr>
              <w:t>Gráfica No.  3. Resumen pasos 1 y 2 sobre identificación jurídica y técnica</w:t>
            </w:r>
            <w:r>
              <w:rPr>
                <w:b/>
                <w:bCs/>
                <w:color w:val="000000"/>
                <w:sz w:val="24"/>
                <w:szCs w:val="24"/>
              </w:rPr>
              <w:tab/>
              <w:t>16</w:t>
            </w:r>
          </w:hyperlink>
        </w:p>
        <w:p w14:paraId="74C1D15E" w14:textId="77777777" w:rsidR="00CF2C82" w:rsidRDefault="009F54A0">
          <w:pPr>
            <w:pBdr>
              <w:top w:val="nil"/>
              <w:left w:val="nil"/>
              <w:bottom w:val="nil"/>
              <w:right w:val="nil"/>
              <w:between w:val="nil"/>
            </w:pBdr>
            <w:tabs>
              <w:tab w:val="right" w:pos="9042"/>
            </w:tabs>
            <w:rPr>
              <w:b/>
              <w:bCs/>
              <w:color w:val="000000"/>
              <w:sz w:val="24"/>
              <w:szCs w:val="24"/>
            </w:rPr>
          </w:pPr>
          <w:hyperlink w:anchor="_heading=h.xqieifxvdy7a">
            <w:r>
              <w:rPr>
                <w:b/>
                <w:bCs/>
                <w:color w:val="000000"/>
                <w:sz w:val="24"/>
                <w:szCs w:val="24"/>
              </w:rPr>
              <w:t>Gráfica No.  4. Formas de iniciar el trámite de cesión a título gratuito</w:t>
            </w:r>
            <w:r>
              <w:rPr>
                <w:b/>
                <w:bCs/>
                <w:color w:val="000000"/>
                <w:sz w:val="24"/>
                <w:szCs w:val="24"/>
              </w:rPr>
              <w:tab/>
              <w:t>17</w:t>
            </w:r>
          </w:hyperlink>
        </w:p>
        <w:p w14:paraId="74C1D15F" w14:textId="77777777" w:rsidR="00CF2C82" w:rsidRDefault="009F54A0">
          <w:pPr>
            <w:pBdr>
              <w:top w:val="nil"/>
              <w:left w:val="nil"/>
              <w:bottom w:val="nil"/>
              <w:right w:val="nil"/>
              <w:between w:val="nil"/>
            </w:pBdr>
            <w:tabs>
              <w:tab w:val="right" w:pos="9042"/>
            </w:tabs>
            <w:rPr>
              <w:b/>
              <w:bCs/>
              <w:color w:val="000000"/>
              <w:sz w:val="24"/>
              <w:szCs w:val="24"/>
            </w:rPr>
          </w:pPr>
          <w:hyperlink w:anchor="_heading=h.i13swnbma50g">
            <w:r>
              <w:rPr>
                <w:b/>
                <w:bCs/>
                <w:color w:val="000000"/>
                <w:sz w:val="24"/>
                <w:szCs w:val="24"/>
              </w:rPr>
              <w:t>Gráfica No.  5. Documentos iniciales</w:t>
            </w:r>
            <w:r>
              <w:rPr>
                <w:b/>
                <w:bCs/>
                <w:color w:val="000000"/>
                <w:sz w:val="24"/>
                <w:szCs w:val="24"/>
              </w:rPr>
              <w:tab/>
              <w:t>18</w:t>
            </w:r>
          </w:hyperlink>
        </w:p>
        <w:p w14:paraId="74C1D160" w14:textId="77777777" w:rsidR="00CF2C82" w:rsidRDefault="009F54A0">
          <w:pPr>
            <w:pBdr>
              <w:top w:val="nil"/>
              <w:left w:val="nil"/>
              <w:bottom w:val="nil"/>
              <w:right w:val="nil"/>
              <w:between w:val="nil"/>
            </w:pBdr>
            <w:tabs>
              <w:tab w:val="right" w:pos="9042"/>
            </w:tabs>
            <w:rPr>
              <w:b/>
              <w:bCs/>
              <w:color w:val="000000"/>
              <w:sz w:val="24"/>
              <w:szCs w:val="24"/>
            </w:rPr>
          </w:pPr>
          <w:hyperlink w:anchor="_heading=h.k1u6j66ky21t">
            <w:r>
              <w:rPr>
                <w:b/>
                <w:bCs/>
                <w:color w:val="000000"/>
                <w:sz w:val="24"/>
                <w:szCs w:val="24"/>
              </w:rPr>
              <w:t>Gráfica No.  6. Verificación y validación de requisitos</w:t>
            </w:r>
            <w:r>
              <w:rPr>
                <w:b/>
                <w:bCs/>
                <w:color w:val="000000"/>
                <w:sz w:val="24"/>
                <w:szCs w:val="24"/>
              </w:rPr>
              <w:tab/>
              <w:t>19</w:t>
            </w:r>
          </w:hyperlink>
        </w:p>
        <w:p w14:paraId="74C1D161" w14:textId="77777777" w:rsidR="00CF2C82" w:rsidRDefault="009F54A0">
          <w:pPr>
            <w:pBdr>
              <w:top w:val="nil"/>
              <w:left w:val="nil"/>
              <w:bottom w:val="nil"/>
              <w:right w:val="nil"/>
              <w:between w:val="nil"/>
            </w:pBdr>
            <w:tabs>
              <w:tab w:val="right" w:pos="9042"/>
            </w:tabs>
            <w:rPr>
              <w:b/>
              <w:bCs/>
              <w:color w:val="000000"/>
              <w:sz w:val="24"/>
              <w:szCs w:val="24"/>
            </w:rPr>
          </w:pPr>
          <w:hyperlink w:anchor="_heading=h.mebjrjkhwd4w">
            <w:r>
              <w:rPr>
                <w:b/>
                <w:bCs/>
                <w:color w:val="000000"/>
                <w:sz w:val="24"/>
                <w:szCs w:val="24"/>
              </w:rPr>
              <w:t>Gráfica No.  7. Término y expedición de la resolución</w:t>
            </w:r>
            <w:r>
              <w:rPr>
                <w:b/>
                <w:bCs/>
                <w:color w:val="000000"/>
                <w:sz w:val="24"/>
                <w:szCs w:val="24"/>
              </w:rPr>
              <w:tab/>
              <w:t>21</w:t>
            </w:r>
          </w:hyperlink>
        </w:p>
        <w:p w14:paraId="74C1D162" w14:textId="77777777" w:rsidR="00CF2C82" w:rsidRDefault="009F54A0">
          <w:pPr>
            <w:pBdr>
              <w:top w:val="nil"/>
              <w:left w:val="nil"/>
              <w:bottom w:val="nil"/>
              <w:right w:val="nil"/>
              <w:between w:val="nil"/>
            </w:pBdr>
            <w:tabs>
              <w:tab w:val="right" w:pos="9042"/>
            </w:tabs>
            <w:rPr>
              <w:b/>
              <w:bCs/>
              <w:color w:val="0000FF"/>
              <w:sz w:val="24"/>
              <w:szCs w:val="24"/>
              <w:u w:val="single"/>
            </w:rPr>
          </w:pPr>
          <w:hyperlink w:anchor="_heading=h.ibm4cdkzbgbu">
            <w:r>
              <w:rPr>
                <w:b/>
                <w:bCs/>
                <w:color w:val="000000"/>
                <w:sz w:val="24"/>
                <w:szCs w:val="24"/>
              </w:rPr>
              <w:t>Gráfica No.  8 Flujograma del proceso de cesión a título gratuito de bienes fiscales a particulares</w:t>
            </w:r>
            <w:r>
              <w:rPr>
                <w:b/>
                <w:bCs/>
                <w:color w:val="000000"/>
                <w:sz w:val="24"/>
                <w:szCs w:val="24"/>
              </w:rPr>
              <w:tab/>
              <w:t>25</w:t>
            </w:r>
          </w:hyperlink>
        </w:p>
        <w:p w14:paraId="74C1D163" w14:textId="77777777" w:rsidR="00CF2C82" w:rsidRDefault="00CF2C82">
          <w:pPr>
            <w:rPr>
              <w:b/>
              <w:bCs/>
              <w:sz w:val="24"/>
              <w:szCs w:val="24"/>
            </w:rPr>
          </w:pPr>
        </w:p>
        <w:p w14:paraId="74C1D164" w14:textId="77777777" w:rsidR="00CF2C82" w:rsidRDefault="00CF2C82">
          <w:pPr>
            <w:rPr>
              <w:b/>
              <w:bCs/>
              <w:sz w:val="24"/>
              <w:szCs w:val="24"/>
            </w:rPr>
          </w:pPr>
        </w:p>
        <w:p w14:paraId="74C1D165" w14:textId="77777777" w:rsidR="00CF2C82" w:rsidRDefault="00CF2C82">
          <w:pPr>
            <w:rPr>
              <w:b/>
              <w:bCs/>
              <w:sz w:val="24"/>
              <w:szCs w:val="24"/>
            </w:rPr>
          </w:pPr>
        </w:p>
        <w:p w14:paraId="74C1D166" w14:textId="77777777" w:rsidR="00CF2C82" w:rsidRDefault="00CF2C82">
          <w:pPr>
            <w:rPr>
              <w:b/>
              <w:bCs/>
              <w:sz w:val="24"/>
              <w:szCs w:val="24"/>
            </w:rPr>
          </w:pPr>
        </w:p>
        <w:p w14:paraId="74C1D167" w14:textId="77777777" w:rsidR="00CF2C82" w:rsidRDefault="009F54A0">
          <w:pPr>
            <w:pStyle w:val="Ttulo1"/>
            <w:rPr>
              <w:b/>
              <w:bCs/>
              <w:sz w:val="24"/>
              <w:szCs w:val="24"/>
            </w:rPr>
          </w:pPr>
          <w:r>
            <w:fldChar w:fldCharType="end"/>
          </w:r>
        </w:p>
      </w:sdtContent>
    </w:sdt>
    <w:p w14:paraId="74C1D168" w14:textId="77777777" w:rsidR="00CF2C82" w:rsidRDefault="00CF2C82">
      <w:pPr>
        <w:pStyle w:val="Ttulo1"/>
        <w:rPr>
          <w:b/>
          <w:bCs/>
          <w:sz w:val="24"/>
          <w:szCs w:val="24"/>
        </w:rPr>
      </w:pPr>
    </w:p>
    <w:p w14:paraId="74C1D169" w14:textId="77777777" w:rsidR="00CF2C82" w:rsidRDefault="00CF2C82">
      <w:pPr>
        <w:rPr>
          <w:b/>
          <w:bCs/>
          <w:sz w:val="24"/>
          <w:szCs w:val="24"/>
        </w:rPr>
      </w:pPr>
    </w:p>
    <w:p w14:paraId="74C1D16A" w14:textId="77777777" w:rsidR="00CF2C82" w:rsidRDefault="009F54A0">
      <w:pPr>
        <w:rPr>
          <w:b/>
          <w:bCs/>
          <w:sz w:val="24"/>
          <w:szCs w:val="24"/>
        </w:rPr>
      </w:pPr>
      <w:r>
        <w:rPr>
          <w:b/>
          <w:bCs/>
          <w:sz w:val="24"/>
          <w:szCs w:val="24"/>
        </w:rPr>
        <w:t xml:space="preserve">Índice de Tablas </w:t>
      </w:r>
    </w:p>
    <w:p w14:paraId="74C1D16B" w14:textId="77777777" w:rsidR="00CF2C82" w:rsidRDefault="00CF2C82">
      <w:pPr>
        <w:rPr>
          <w:b/>
          <w:bCs/>
          <w:sz w:val="24"/>
          <w:szCs w:val="24"/>
        </w:rPr>
      </w:pPr>
    </w:p>
    <w:p w14:paraId="74C1D16C" w14:textId="77777777" w:rsidR="00CF2C82" w:rsidRDefault="009F54A0">
      <w:pPr>
        <w:rPr>
          <w:b/>
          <w:bCs/>
          <w:sz w:val="24"/>
          <w:szCs w:val="24"/>
        </w:rPr>
      </w:pPr>
      <w:r>
        <w:rPr>
          <w:b/>
          <w:bCs/>
          <w:sz w:val="24"/>
          <w:szCs w:val="24"/>
        </w:rPr>
        <w:t>Tabla No. 1 Atributos adicionales del Inventario Inmobiliario Municipal………21</w:t>
      </w:r>
    </w:p>
    <w:p w14:paraId="74C1D16D" w14:textId="77777777" w:rsidR="00CF2C82" w:rsidRDefault="00CF2C82">
      <w:pPr>
        <w:pStyle w:val="Ttulo1"/>
        <w:rPr>
          <w:b/>
          <w:bCs/>
          <w:sz w:val="24"/>
          <w:szCs w:val="24"/>
        </w:rPr>
      </w:pPr>
    </w:p>
    <w:p w14:paraId="74C1D16E" w14:textId="77777777" w:rsidR="00CF2C82" w:rsidRDefault="00CF2C82">
      <w:pPr>
        <w:pStyle w:val="Ttulo1"/>
        <w:rPr>
          <w:b/>
          <w:bCs/>
          <w:sz w:val="24"/>
          <w:szCs w:val="24"/>
        </w:rPr>
      </w:pPr>
    </w:p>
    <w:p w14:paraId="74C1D16F" w14:textId="77777777" w:rsidR="00CF2C82" w:rsidRDefault="00CF2C82"/>
    <w:p w14:paraId="74C1D170" w14:textId="77777777" w:rsidR="00CF2C82" w:rsidRDefault="00CF2C82"/>
    <w:p w14:paraId="2B08791F" w14:textId="77777777" w:rsidR="00B13295" w:rsidRDefault="00B13295"/>
    <w:p w14:paraId="569EB087" w14:textId="77777777" w:rsidR="00B13295" w:rsidRDefault="00B13295"/>
    <w:p w14:paraId="5BBE4C3C" w14:textId="77777777" w:rsidR="00B13295" w:rsidRDefault="00B13295"/>
    <w:p w14:paraId="6D07E8EA" w14:textId="77777777" w:rsidR="00B13295" w:rsidRDefault="00B13295"/>
    <w:p w14:paraId="74C1D171" w14:textId="77777777" w:rsidR="00CF2C82" w:rsidRDefault="009F54A0">
      <w:pPr>
        <w:pStyle w:val="Ttulo1"/>
        <w:rPr>
          <w:b/>
          <w:bCs/>
          <w:sz w:val="24"/>
          <w:szCs w:val="24"/>
        </w:rPr>
      </w:pPr>
      <w:bookmarkStart w:id="6" w:name="_Toc228956534"/>
      <w:r>
        <w:rPr>
          <w:b/>
          <w:bCs/>
          <w:sz w:val="24"/>
          <w:szCs w:val="24"/>
        </w:rPr>
        <w:t>Generalidades</w:t>
      </w:r>
      <w:bookmarkEnd w:id="6"/>
      <w:r>
        <w:rPr>
          <w:b/>
          <w:bCs/>
          <w:sz w:val="24"/>
          <w:szCs w:val="24"/>
        </w:rPr>
        <w:t xml:space="preserve"> </w:t>
      </w:r>
    </w:p>
    <w:p w14:paraId="74C1D172" w14:textId="77777777" w:rsidR="00CF2C82" w:rsidRDefault="00CF2C82"/>
    <w:p w14:paraId="74C1D173" w14:textId="77777777" w:rsidR="00CF2C82" w:rsidRDefault="009F54A0">
      <w:pPr>
        <w:jc w:val="both"/>
        <w:rPr>
          <w:sz w:val="24"/>
          <w:szCs w:val="24"/>
        </w:rPr>
      </w:pPr>
      <w:r>
        <w:rPr>
          <w:sz w:val="24"/>
          <w:szCs w:val="24"/>
        </w:rPr>
        <w:t xml:space="preserve">La Caja de Herramientas </w:t>
      </w:r>
      <w:proofErr w:type="spellStart"/>
      <w:r>
        <w:rPr>
          <w:sz w:val="24"/>
          <w:szCs w:val="24"/>
        </w:rPr>
        <w:t>CiuData</w:t>
      </w:r>
      <w:proofErr w:type="spellEnd"/>
      <w:r>
        <w:rPr>
          <w:sz w:val="24"/>
          <w:szCs w:val="24"/>
        </w:rPr>
        <w:t>+ reúne un conjunto de soluciones técnicas diseñadas para fortalecer la gestión territorial en los municipios. Dentro de esta caja se organizan diferentes kits especializados, cada uno orientado a resolver necesidades específicas de información, administración y toma de decisiones.</w:t>
      </w:r>
    </w:p>
    <w:p w14:paraId="74C1D174" w14:textId="77777777" w:rsidR="00CF2C82" w:rsidRDefault="00CF2C82">
      <w:pPr>
        <w:jc w:val="both"/>
        <w:rPr>
          <w:sz w:val="24"/>
          <w:szCs w:val="24"/>
        </w:rPr>
      </w:pPr>
    </w:p>
    <w:p w14:paraId="74C1D175" w14:textId="77777777" w:rsidR="00CF2C82" w:rsidRDefault="009F54A0">
      <w:pPr>
        <w:jc w:val="both"/>
        <w:rPr>
          <w:sz w:val="24"/>
          <w:szCs w:val="24"/>
        </w:rPr>
      </w:pPr>
      <w:r>
        <w:rPr>
          <w:sz w:val="24"/>
          <w:szCs w:val="24"/>
        </w:rPr>
        <w:t>Entre estos conjuntos se encuentra el KIT de herramientas para la gestión, administración y formalización del inventario municipal de inmuebles, un paquete metodológico que integra los instrumentos y las rutas orientadas a consolidar la información del inventario inmobiliario municipal de manera confiable, así como la representación del procedimiento integral sugerido como guía a incluir en los sistemas de gestión municipal, con el fin de mejorar la administración del suelo fiscal y facilitar procesos de saneamiento, disposición y formalización.</w:t>
      </w:r>
    </w:p>
    <w:p w14:paraId="74C1D176" w14:textId="77777777" w:rsidR="00CF2C82" w:rsidRDefault="00CF2C82">
      <w:pPr>
        <w:jc w:val="both"/>
        <w:rPr>
          <w:sz w:val="24"/>
          <w:szCs w:val="24"/>
        </w:rPr>
      </w:pPr>
    </w:p>
    <w:p w14:paraId="74C1D177" w14:textId="77777777" w:rsidR="00CF2C82" w:rsidRDefault="009F54A0">
      <w:pPr>
        <w:jc w:val="both"/>
        <w:rPr>
          <w:sz w:val="24"/>
          <w:szCs w:val="24"/>
        </w:rPr>
      </w:pPr>
      <w:r>
        <w:rPr>
          <w:sz w:val="24"/>
          <w:szCs w:val="24"/>
        </w:rPr>
        <w:t>Su estructura responde a los estándares del catastro multipropósito y promueve la interoperabilidad entre catastro, registro y ordenamiento territorial.</w:t>
      </w:r>
    </w:p>
    <w:p w14:paraId="74C1D178" w14:textId="77777777" w:rsidR="00CF2C82" w:rsidRDefault="009F54A0">
      <w:pPr>
        <w:jc w:val="both"/>
        <w:rPr>
          <w:color w:val="0F4761"/>
          <w:sz w:val="24"/>
          <w:szCs w:val="24"/>
        </w:rPr>
      </w:pPr>
      <w:bookmarkStart w:id="7" w:name="_heading=h.bte9nsdp1tj7" w:colFirst="0" w:colLast="0"/>
      <w:bookmarkEnd w:id="7"/>
      <w:r>
        <w:rPr>
          <w:sz w:val="24"/>
          <w:szCs w:val="24"/>
        </w:rPr>
        <w:t>Este KIT incorpora el Mapa Completo de Rutas de Saneamiento, una herramienta visual que orienta la selección del procedimiento adecuado según la situación jurídica, catastral y administrativa de cada inmueble. El mapa muestra cómo cada ruta conduce directamente a una de las cartillas que conforman el KIT, permitiendo a los municipios identificar el instrumento técnico correspondiente a su caso y avanzar de manera ordenada, tal como se presenta en la gráfica siguiente</w:t>
      </w:r>
      <w:r>
        <w:rPr>
          <w:color w:val="0F4761"/>
          <w:sz w:val="24"/>
          <w:szCs w:val="24"/>
        </w:rPr>
        <w:t>.</w:t>
      </w:r>
    </w:p>
    <w:p w14:paraId="74C1D179" w14:textId="77777777" w:rsidR="00CF2C82" w:rsidRDefault="00CF2C82">
      <w:pPr>
        <w:jc w:val="both"/>
        <w:rPr>
          <w:b/>
          <w:bCs/>
          <w:sz w:val="24"/>
          <w:szCs w:val="24"/>
        </w:rPr>
      </w:pPr>
    </w:p>
    <w:p w14:paraId="74C1D17A" w14:textId="77777777" w:rsidR="00CF2C82" w:rsidRDefault="00CF2C82">
      <w:pPr>
        <w:jc w:val="both"/>
        <w:rPr>
          <w:b/>
          <w:bCs/>
          <w:sz w:val="24"/>
          <w:szCs w:val="24"/>
        </w:rPr>
      </w:pPr>
      <w:bookmarkStart w:id="8" w:name="_heading=h.8tddb5e04p50" w:colFirst="0" w:colLast="0"/>
      <w:bookmarkEnd w:id="8"/>
    </w:p>
    <w:p w14:paraId="74C1D17B" w14:textId="77777777" w:rsidR="00CF2C82" w:rsidRDefault="00CF2C82">
      <w:pPr>
        <w:jc w:val="both"/>
        <w:rPr>
          <w:b/>
          <w:bCs/>
          <w:sz w:val="24"/>
          <w:szCs w:val="24"/>
        </w:rPr>
      </w:pPr>
      <w:bookmarkStart w:id="9" w:name="_heading=h.ca6j83k1rk2o" w:colFirst="0" w:colLast="0"/>
      <w:bookmarkEnd w:id="9"/>
    </w:p>
    <w:p w14:paraId="74C1D17C" w14:textId="77777777" w:rsidR="00CF2C82" w:rsidRDefault="00CF2C82">
      <w:pPr>
        <w:pStyle w:val="Ttulo1"/>
        <w:keepNext w:val="0"/>
        <w:keepLines w:val="0"/>
        <w:spacing w:before="480" w:line="239" w:lineRule="auto"/>
        <w:jc w:val="center"/>
        <w:rPr>
          <w:b/>
          <w:bCs/>
          <w:sz w:val="24"/>
          <w:szCs w:val="24"/>
        </w:rPr>
      </w:pPr>
      <w:bookmarkStart w:id="10" w:name="_heading=h.4fnkufnrieue" w:colFirst="0" w:colLast="0"/>
      <w:bookmarkEnd w:id="10"/>
    </w:p>
    <w:p w14:paraId="74C1D17D" w14:textId="77777777" w:rsidR="00CF2C82" w:rsidRDefault="00CF2C82"/>
    <w:p w14:paraId="74C1D17E" w14:textId="77777777" w:rsidR="00CF2C82" w:rsidRDefault="00CF2C82"/>
    <w:p w14:paraId="74C1D17F" w14:textId="77777777" w:rsidR="00CF2C82" w:rsidRDefault="00CF2C82"/>
    <w:p w14:paraId="74C1D180" w14:textId="77777777" w:rsidR="00CF2C82" w:rsidRDefault="00CF2C82"/>
    <w:p w14:paraId="74C1D181" w14:textId="77777777" w:rsidR="00CF2C82" w:rsidRDefault="00CF2C82"/>
    <w:p w14:paraId="74C1D182" w14:textId="77777777" w:rsidR="00CF2C82" w:rsidRDefault="00CF2C82"/>
    <w:p w14:paraId="74C1D183" w14:textId="77777777" w:rsidR="00CF2C82" w:rsidRDefault="00CF2C82"/>
    <w:p w14:paraId="74C1D184" w14:textId="77777777" w:rsidR="00CF2C82" w:rsidRDefault="00CF2C82"/>
    <w:p w14:paraId="74C1D185" w14:textId="77777777" w:rsidR="00CF2C82" w:rsidRDefault="00CF2C82">
      <w:pPr>
        <w:pBdr>
          <w:top w:val="nil"/>
          <w:left w:val="nil"/>
          <w:bottom w:val="nil"/>
          <w:right w:val="nil"/>
          <w:between w:val="nil"/>
        </w:pBdr>
        <w:spacing w:after="200" w:line="240" w:lineRule="auto"/>
        <w:rPr>
          <w:b/>
          <w:bCs/>
          <w:color w:val="000000"/>
          <w:sz w:val="24"/>
          <w:szCs w:val="24"/>
        </w:rPr>
      </w:pPr>
      <w:bookmarkStart w:id="11" w:name="_heading=h.shrzx2bgvbl5" w:colFirst="0" w:colLast="0"/>
      <w:bookmarkEnd w:id="11"/>
    </w:p>
    <w:p w14:paraId="74C1D186" w14:textId="77777777" w:rsidR="00CF2C82" w:rsidRDefault="00CF2C82">
      <w:pPr>
        <w:pBdr>
          <w:top w:val="nil"/>
          <w:left w:val="nil"/>
          <w:bottom w:val="nil"/>
          <w:right w:val="nil"/>
          <w:between w:val="nil"/>
        </w:pBdr>
        <w:spacing w:after="200" w:line="240" w:lineRule="auto"/>
        <w:rPr>
          <w:b/>
          <w:bCs/>
          <w:color w:val="000000"/>
          <w:sz w:val="24"/>
          <w:szCs w:val="24"/>
        </w:rPr>
      </w:pPr>
    </w:p>
    <w:p w14:paraId="74C1D187" w14:textId="77777777" w:rsidR="00CF2C82" w:rsidRDefault="009F54A0">
      <w:pPr>
        <w:pBdr>
          <w:top w:val="nil"/>
          <w:left w:val="nil"/>
          <w:bottom w:val="nil"/>
          <w:right w:val="nil"/>
          <w:between w:val="nil"/>
        </w:pBdr>
        <w:spacing w:after="200" w:line="240" w:lineRule="auto"/>
        <w:rPr>
          <w:b/>
          <w:bCs/>
          <w:color w:val="000000"/>
          <w:sz w:val="24"/>
          <w:szCs w:val="24"/>
        </w:rPr>
      </w:pPr>
      <w:r>
        <w:rPr>
          <w:b/>
          <w:bCs/>
          <w:color w:val="000000"/>
          <w:sz w:val="24"/>
          <w:szCs w:val="24"/>
        </w:rPr>
        <w:t xml:space="preserve">Gráfica </w:t>
      </w:r>
      <w:proofErr w:type="gramStart"/>
      <w:r>
        <w:rPr>
          <w:b/>
          <w:bCs/>
          <w:color w:val="000000"/>
          <w:sz w:val="24"/>
          <w:szCs w:val="24"/>
        </w:rPr>
        <w:t>No.  1</w:t>
      </w:r>
      <w:proofErr w:type="gramEnd"/>
      <w:r>
        <w:rPr>
          <w:b/>
          <w:bCs/>
          <w:color w:val="000000"/>
          <w:sz w:val="24"/>
          <w:szCs w:val="24"/>
        </w:rPr>
        <w:t xml:space="preserve">. El KIT de herramientas </w:t>
      </w:r>
      <w:proofErr w:type="spellStart"/>
      <w:r>
        <w:rPr>
          <w:b/>
          <w:bCs/>
          <w:color w:val="000000"/>
          <w:sz w:val="24"/>
          <w:szCs w:val="24"/>
        </w:rPr>
        <w:t>Ciudata</w:t>
      </w:r>
      <w:proofErr w:type="spellEnd"/>
      <w:r>
        <w:rPr>
          <w:b/>
          <w:bCs/>
          <w:color w:val="000000"/>
          <w:sz w:val="24"/>
          <w:szCs w:val="24"/>
        </w:rPr>
        <w:t>+ para la gestión, administración y formalización del patrimonio inmobiliario municipal</w:t>
      </w:r>
    </w:p>
    <w:p w14:paraId="74C1D188" w14:textId="77777777" w:rsidR="00CF2C82" w:rsidRDefault="00CF2C82">
      <w:pPr>
        <w:pStyle w:val="Ttulo1"/>
        <w:keepNext w:val="0"/>
        <w:keepLines w:val="0"/>
        <w:spacing w:before="480" w:line="239" w:lineRule="auto"/>
        <w:rPr>
          <w:b/>
          <w:bCs/>
          <w:sz w:val="24"/>
          <w:szCs w:val="24"/>
        </w:rPr>
      </w:pPr>
      <w:bookmarkStart w:id="12" w:name="_heading=h.x641zi91ptq1" w:colFirst="0" w:colLast="0"/>
      <w:bookmarkEnd w:id="12"/>
    </w:p>
    <w:p w14:paraId="74C1D189" w14:textId="77777777" w:rsidR="00CF2C82" w:rsidRDefault="009F54A0">
      <w:pPr>
        <w:rPr>
          <w:sz w:val="24"/>
          <w:szCs w:val="24"/>
        </w:rPr>
      </w:pPr>
      <w:r>
        <w:rPr>
          <w:noProof/>
          <w:sz w:val="24"/>
          <w:szCs w:val="24"/>
        </w:rPr>
        <w:drawing>
          <wp:inline distT="114300" distB="114300" distL="114300" distR="114300" wp14:anchorId="74C1D302" wp14:editId="74C1D303">
            <wp:extent cx="5601018" cy="4189152"/>
            <wp:effectExtent l="0" t="0" r="0" b="0"/>
            <wp:docPr id="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1"/>
                    <a:srcRect/>
                    <a:stretch>
                      <a:fillRect/>
                    </a:stretch>
                  </pic:blipFill>
                  <pic:spPr>
                    <a:xfrm>
                      <a:off x="0" y="0"/>
                      <a:ext cx="5601018" cy="4189152"/>
                    </a:xfrm>
                    <a:prstGeom prst="rect">
                      <a:avLst/>
                    </a:prstGeom>
                    <a:ln/>
                  </pic:spPr>
                </pic:pic>
              </a:graphicData>
            </a:graphic>
          </wp:inline>
        </w:drawing>
      </w:r>
    </w:p>
    <w:p w14:paraId="74C1D18A" w14:textId="77777777" w:rsidR="00CF2C82" w:rsidRDefault="009F54A0">
      <w:pPr>
        <w:jc w:val="center"/>
        <w:rPr>
          <w:sz w:val="20"/>
          <w:szCs w:val="20"/>
        </w:rPr>
      </w:pPr>
      <w:r>
        <w:rPr>
          <w:sz w:val="20"/>
          <w:szCs w:val="20"/>
        </w:rPr>
        <w:t>Fuente: elaboración propia</w:t>
      </w:r>
    </w:p>
    <w:p w14:paraId="74C1D18B" w14:textId="77777777" w:rsidR="00CF2C82" w:rsidRDefault="00CF2C82">
      <w:pPr>
        <w:pStyle w:val="Ttulo1"/>
        <w:keepNext w:val="0"/>
        <w:keepLines w:val="0"/>
        <w:spacing w:before="240" w:after="240"/>
        <w:jc w:val="both"/>
        <w:rPr>
          <w:sz w:val="24"/>
          <w:szCs w:val="24"/>
        </w:rPr>
      </w:pPr>
      <w:bookmarkStart w:id="13" w:name="_heading=h.ua84erzb02rc" w:colFirst="0" w:colLast="0"/>
      <w:bookmarkEnd w:id="13"/>
    </w:p>
    <w:p w14:paraId="74C1D18C" w14:textId="77777777" w:rsidR="00CF2C82" w:rsidRDefault="00CF2C82"/>
    <w:p w14:paraId="74C1D18D" w14:textId="77777777" w:rsidR="00CF2C82" w:rsidRDefault="00CF2C82"/>
    <w:p w14:paraId="74C1D18E" w14:textId="77777777" w:rsidR="00CF2C82" w:rsidRDefault="00CF2C82"/>
    <w:p w14:paraId="74C1D18F" w14:textId="77777777" w:rsidR="00CF2C82" w:rsidRDefault="00CF2C82"/>
    <w:p w14:paraId="74C1D190" w14:textId="77777777" w:rsidR="00CF2C82" w:rsidRDefault="00CF2C82"/>
    <w:p w14:paraId="74C1D191" w14:textId="77777777" w:rsidR="00CF2C82" w:rsidRDefault="00CF2C82"/>
    <w:p w14:paraId="74C1D192" w14:textId="77777777" w:rsidR="00CF2C82" w:rsidRDefault="00CF2C82"/>
    <w:p w14:paraId="74C1D193" w14:textId="77777777" w:rsidR="00CF2C82" w:rsidRDefault="00CF2C82"/>
    <w:p w14:paraId="74C1D194" w14:textId="77777777" w:rsidR="00CF2C82" w:rsidRDefault="00CF2C82"/>
    <w:p w14:paraId="74C1D195" w14:textId="77777777" w:rsidR="00CF2C82" w:rsidRDefault="00CF2C82"/>
    <w:p w14:paraId="74C1D196" w14:textId="77777777" w:rsidR="00CF2C82" w:rsidRDefault="00CF2C82"/>
    <w:p w14:paraId="74C1D197" w14:textId="77777777" w:rsidR="00CF2C82" w:rsidRDefault="00CF2C82">
      <w:pPr>
        <w:rPr>
          <w:sz w:val="24"/>
          <w:szCs w:val="24"/>
        </w:rPr>
      </w:pPr>
    </w:p>
    <w:p w14:paraId="74C1D198" w14:textId="77777777" w:rsidR="00CF2C82" w:rsidRDefault="009F54A0">
      <w:pPr>
        <w:pStyle w:val="Ttulo1"/>
        <w:rPr>
          <w:b/>
          <w:bCs/>
          <w:sz w:val="24"/>
          <w:szCs w:val="24"/>
        </w:rPr>
      </w:pPr>
      <w:bookmarkStart w:id="14" w:name="_Toc228956535"/>
      <w:r>
        <w:rPr>
          <w:b/>
          <w:bCs/>
          <w:sz w:val="24"/>
          <w:szCs w:val="24"/>
        </w:rPr>
        <w:t>Resumen</w:t>
      </w:r>
      <w:bookmarkEnd w:id="14"/>
    </w:p>
    <w:p w14:paraId="74C1D199" w14:textId="77777777" w:rsidR="00CF2C82" w:rsidRDefault="009F54A0">
      <w:pPr>
        <w:jc w:val="both"/>
        <w:rPr>
          <w:sz w:val="24"/>
          <w:szCs w:val="24"/>
        </w:rPr>
      </w:pPr>
      <w:r>
        <w:rPr>
          <w:sz w:val="24"/>
          <w:szCs w:val="24"/>
        </w:rPr>
        <w:t>La cartilla establece el procedimiento para la cesión a título gratuito de bienes fiscales titulables a particulares, como instrumento para formalizar la propiedad de predios ocupados con fines de vivienda. Su propósito es orientar a los municipios en la transferencia legal de estos bienes a hogares que cumplen los requisitos, contribuyendo al acceso a vivienda digna, la reducción de la informalidad y el fortalecimiento de la seguridad jurídica, en coherencia con la normativa vigente y los procesos previos de inventario y saneamiento.</w:t>
      </w:r>
    </w:p>
    <w:p w14:paraId="74C1D19A" w14:textId="77777777" w:rsidR="00CF2C82" w:rsidRDefault="00CF2C82">
      <w:pPr>
        <w:jc w:val="both"/>
        <w:rPr>
          <w:sz w:val="24"/>
          <w:szCs w:val="24"/>
        </w:rPr>
      </w:pPr>
    </w:p>
    <w:p w14:paraId="74C1D19B" w14:textId="77777777" w:rsidR="00CF2C82" w:rsidRDefault="009F54A0">
      <w:pPr>
        <w:jc w:val="both"/>
        <w:rPr>
          <w:sz w:val="24"/>
          <w:szCs w:val="24"/>
        </w:rPr>
      </w:pPr>
      <w:r>
        <w:rPr>
          <w:sz w:val="24"/>
          <w:szCs w:val="24"/>
        </w:rPr>
        <w:t>El documento define una ruta estructurada que abarca la validación jurídica y técnica del predio, la verificación de condiciones del hogar ocupante, el desarrollo del trámite administrativo y la expedición del acto de cesión, garantizando transparencia, publicidad y control de posibles oposiciones. Este enfoque permite asegurar que únicamente los casos que cumplen plenamente los criterios legales avancen hacia la transferencia del dominio.</w:t>
      </w:r>
    </w:p>
    <w:p w14:paraId="74C1D19C" w14:textId="77777777" w:rsidR="00CF2C82" w:rsidRDefault="00CF2C82">
      <w:pPr>
        <w:jc w:val="both"/>
        <w:rPr>
          <w:sz w:val="24"/>
          <w:szCs w:val="24"/>
        </w:rPr>
      </w:pPr>
    </w:p>
    <w:p w14:paraId="74C1D19D" w14:textId="77777777" w:rsidR="00CF2C82" w:rsidRDefault="009F54A0">
      <w:pPr>
        <w:jc w:val="both"/>
        <w:rPr>
          <w:sz w:val="24"/>
          <w:szCs w:val="24"/>
        </w:rPr>
      </w:pPr>
      <w:r>
        <w:rPr>
          <w:sz w:val="24"/>
          <w:szCs w:val="24"/>
        </w:rPr>
        <w:t>Como resultado, los municipios consolidan la formalización de la propiedad, actualizan su inventario inmobiliario municipal y fortalecen la calidad de la información catastral y registral. Esto se traduce en beneficios como mayor ordenamiento territorial, mejor gestión fiscal y promoción de territorios más equitativos y sostenibles.</w:t>
      </w:r>
    </w:p>
    <w:p w14:paraId="74C1D19E" w14:textId="77777777" w:rsidR="00CF2C82" w:rsidRDefault="00CF2C82">
      <w:pPr>
        <w:jc w:val="both"/>
        <w:rPr>
          <w:sz w:val="24"/>
          <w:szCs w:val="24"/>
        </w:rPr>
      </w:pPr>
    </w:p>
    <w:p w14:paraId="74C1D19F" w14:textId="77777777" w:rsidR="00CF2C82" w:rsidRDefault="00CF2C82">
      <w:pPr>
        <w:jc w:val="both"/>
        <w:rPr>
          <w:sz w:val="24"/>
          <w:szCs w:val="24"/>
        </w:rPr>
      </w:pPr>
    </w:p>
    <w:p w14:paraId="74C1D1A0" w14:textId="77777777" w:rsidR="00CF2C82" w:rsidRDefault="00CF2C82">
      <w:pPr>
        <w:rPr>
          <w:sz w:val="24"/>
          <w:szCs w:val="24"/>
        </w:rPr>
      </w:pPr>
    </w:p>
    <w:p w14:paraId="74C1D1A1" w14:textId="77777777" w:rsidR="00CF2C82" w:rsidRDefault="00CF2C82">
      <w:pPr>
        <w:rPr>
          <w:sz w:val="24"/>
          <w:szCs w:val="24"/>
        </w:rPr>
      </w:pPr>
    </w:p>
    <w:p w14:paraId="74C1D1A2" w14:textId="77777777" w:rsidR="00CF2C82" w:rsidRDefault="00CF2C82">
      <w:pPr>
        <w:rPr>
          <w:sz w:val="24"/>
          <w:szCs w:val="24"/>
        </w:rPr>
      </w:pPr>
    </w:p>
    <w:p w14:paraId="74C1D1A3" w14:textId="77777777" w:rsidR="00CF2C82" w:rsidRDefault="00CF2C82">
      <w:pPr>
        <w:rPr>
          <w:sz w:val="24"/>
          <w:szCs w:val="24"/>
        </w:rPr>
      </w:pPr>
    </w:p>
    <w:p w14:paraId="74C1D1A4" w14:textId="77777777" w:rsidR="00CF2C82" w:rsidRDefault="00CF2C82">
      <w:pPr>
        <w:rPr>
          <w:sz w:val="24"/>
          <w:szCs w:val="24"/>
        </w:rPr>
      </w:pPr>
    </w:p>
    <w:p w14:paraId="74C1D1A5" w14:textId="77777777" w:rsidR="00CF2C82" w:rsidRDefault="00CF2C82">
      <w:pPr>
        <w:rPr>
          <w:sz w:val="24"/>
          <w:szCs w:val="24"/>
        </w:rPr>
      </w:pPr>
    </w:p>
    <w:p w14:paraId="74C1D1A6" w14:textId="77777777" w:rsidR="00CF2C82" w:rsidRDefault="00CF2C82">
      <w:pPr>
        <w:rPr>
          <w:sz w:val="24"/>
          <w:szCs w:val="24"/>
        </w:rPr>
      </w:pPr>
    </w:p>
    <w:p w14:paraId="74C1D1A7" w14:textId="77777777" w:rsidR="00CF2C82" w:rsidRDefault="00CF2C82">
      <w:pPr>
        <w:rPr>
          <w:sz w:val="24"/>
          <w:szCs w:val="24"/>
        </w:rPr>
      </w:pPr>
    </w:p>
    <w:p w14:paraId="74C1D1A8" w14:textId="77777777" w:rsidR="00CF2C82" w:rsidRDefault="00CF2C82">
      <w:pPr>
        <w:rPr>
          <w:sz w:val="24"/>
          <w:szCs w:val="24"/>
        </w:rPr>
      </w:pPr>
    </w:p>
    <w:p w14:paraId="74C1D1A9" w14:textId="77777777" w:rsidR="00CF2C82" w:rsidRDefault="00CF2C82">
      <w:pPr>
        <w:rPr>
          <w:sz w:val="24"/>
          <w:szCs w:val="24"/>
        </w:rPr>
      </w:pPr>
    </w:p>
    <w:p w14:paraId="74C1D1AA" w14:textId="77777777" w:rsidR="00CF2C82" w:rsidRDefault="00CF2C82">
      <w:pPr>
        <w:rPr>
          <w:sz w:val="24"/>
          <w:szCs w:val="24"/>
        </w:rPr>
      </w:pPr>
    </w:p>
    <w:p w14:paraId="74C1D1AB" w14:textId="77777777" w:rsidR="00CF2C82" w:rsidRDefault="00CF2C82">
      <w:pPr>
        <w:rPr>
          <w:sz w:val="24"/>
          <w:szCs w:val="24"/>
        </w:rPr>
      </w:pPr>
    </w:p>
    <w:p w14:paraId="74C1D1AC" w14:textId="77777777" w:rsidR="00CF2C82" w:rsidRDefault="00CF2C82">
      <w:pPr>
        <w:rPr>
          <w:sz w:val="24"/>
          <w:szCs w:val="24"/>
        </w:rPr>
      </w:pPr>
    </w:p>
    <w:p w14:paraId="74C1D1AD" w14:textId="77777777" w:rsidR="00CF2C82" w:rsidRDefault="00CF2C82">
      <w:pPr>
        <w:rPr>
          <w:sz w:val="24"/>
          <w:szCs w:val="24"/>
        </w:rPr>
      </w:pPr>
    </w:p>
    <w:p w14:paraId="74C1D1AE" w14:textId="77777777" w:rsidR="00CF2C82" w:rsidRDefault="009F54A0">
      <w:pPr>
        <w:pStyle w:val="Ttulo1"/>
        <w:rPr>
          <w:b/>
          <w:bCs/>
          <w:sz w:val="24"/>
          <w:szCs w:val="24"/>
        </w:rPr>
      </w:pPr>
      <w:r>
        <w:rPr>
          <w:b/>
          <w:bCs/>
          <w:sz w:val="24"/>
          <w:szCs w:val="24"/>
        </w:rPr>
        <w:t xml:space="preserve"> </w:t>
      </w:r>
      <w:bookmarkStart w:id="15" w:name="_Toc228956536"/>
      <w:r>
        <w:rPr>
          <w:b/>
          <w:bCs/>
          <w:sz w:val="24"/>
          <w:szCs w:val="24"/>
        </w:rPr>
        <w:t>Introducción</w:t>
      </w:r>
      <w:bookmarkEnd w:id="15"/>
    </w:p>
    <w:p w14:paraId="74C1D1AF" w14:textId="77777777" w:rsidR="00CF2C82" w:rsidRDefault="009F54A0">
      <w:pPr>
        <w:jc w:val="both"/>
        <w:rPr>
          <w:sz w:val="24"/>
          <w:szCs w:val="24"/>
        </w:rPr>
      </w:pPr>
      <w:r>
        <w:rPr>
          <w:sz w:val="24"/>
          <w:szCs w:val="24"/>
        </w:rPr>
        <w:t>La cartilla forma parte de una caja de herramientas dirigida a los municipios para orientar los procesos de formalización y legalización de bienes inmuebles bajo su jurisdicción. Continúa el trabajo desarrollado en las cartillas anteriores sobre inventario inmobiliario municipal y clasificación de bienes baldíos urbanos, y se centra en la cesión a título gratuito de bienes fiscales titulables destinados a vivienda.</w:t>
      </w:r>
    </w:p>
    <w:p w14:paraId="74C1D1B0" w14:textId="77777777" w:rsidR="00CF2C82" w:rsidRDefault="00CF2C82">
      <w:pPr>
        <w:jc w:val="both"/>
        <w:rPr>
          <w:sz w:val="24"/>
          <w:szCs w:val="24"/>
        </w:rPr>
      </w:pPr>
    </w:p>
    <w:p w14:paraId="74C1D1B1" w14:textId="77777777" w:rsidR="00CF2C82" w:rsidRDefault="009F54A0">
      <w:pPr>
        <w:jc w:val="both"/>
        <w:rPr>
          <w:sz w:val="24"/>
          <w:szCs w:val="24"/>
        </w:rPr>
      </w:pPr>
      <w:r>
        <w:rPr>
          <w:sz w:val="24"/>
          <w:szCs w:val="24"/>
        </w:rPr>
        <w:t>Su objetivo es orientar a los municipios en el cumplimiento de los requisitos legales y técnicos necesarios para transferir estos bienes a particulares que acrediten condiciones como el tiempo de ocupación y la realización de mejoras. Para ello, la cartilla presenta un procedimiento estandarizado por etapas que facilita una gestión eficiente y acorde con la normativa vigente. De esta manera, el procedimiento descrito contribuye al ordenamiento territorial, al acceso formal a la propiedad y a la garantía del derecho a una vivienda digna.</w:t>
      </w:r>
    </w:p>
    <w:p w14:paraId="74C1D1B2" w14:textId="77777777" w:rsidR="00CF2C82" w:rsidRDefault="00CF2C82">
      <w:pPr>
        <w:jc w:val="both"/>
        <w:rPr>
          <w:sz w:val="24"/>
          <w:szCs w:val="24"/>
        </w:rPr>
      </w:pPr>
    </w:p>
    <w:p w14:paraId="74C1D1B3" w14:textId="77777777" w:rsidR="00CF2C82" w:rsidRDefault="009F54A0">
      <w:pPr>
        <w:jc w:val="both"/>
        <w:rPr>
          <w:sz w:val="24"/>
          <w:szCs w:val="24"/>
        </w:rPr>
      </w:pPr>
      <w:r>
        <w:rPr>
          <w:sz w:val="24"/>
          <w:szCs w:val="24"/>
        </w:rPr>
        <w:t xml:space="preserve">En línea con estos objetivos, el programa </w:t>
      </w:r>
      <w:proofErr w:type="spellStart"/>
      <w:r>
        <w:rPr>
          <w:sz w:val="24"/>
          <w:szCs w:val="24"/>
        </w:rPr>
        <w:t>CiuData</w:t>
      </w:r>
      <w:proofErr w:type="spellEnd"/>
      <w:r>
        <w:rPr>
          <w:sz w:val="24"/>
          <w:szCs w:val="24"/>
        </w:rPr>
        <w:t>+ en su componente 1, en articulación con el Departamento Nacional de Planeación, apoya la construcción de herramientas dirigidas a fortalecer las capacidades de los Entes Territoriales en la gestión, administración y titulación de bienes inmuebles fiscales con vocación habitacional, permitiendo avanzar en fortalecer la capacidad fiscal de los municipios, promoviendo un desarrollo más equitativo y sostenible.</w:t>
      </w:r>
    </w:p>
    <w:p w14:paraId="74C1D1B4" w14:textId="77777777" w:rsidR="00CF2C82" w:rsidRDefault="00CF2C82">
      <w:pPr>
        <w:spacing w:before="240" w:after="240"/>
        <w:jc w:val="both"/>
        <w:rPr>
          <w:sz w:val="24"/>
          <w:szCs w:val="24"/>
        </w:rPr>
      </w:pPr>
    </w:p>
    <w:p w14:paraId="74C1D1B5" w14:textId="77777777" w:rsidR="00CF2C82" w:rsidRDefault="00CF2C82">
      <w:pPr>
        <w:spacing w:before="240" w:after="240"/>
        <w:jc w:val="both"/>
        <w:rPr>
          <w:sz w:val="24"/>
          <w:szCs w:val="24"/>
        </w:rPr>
      </w:pPr>
    </w:p>
    <w:p w14:paraId="74C1D1B6" w14:textId="77777777" w:rsidR="00CF2C82" w:rsidRDefault="00CF2C82">
      <w:pPr>
        <w:spacing w:before="240" w:after="240"/>
        <w:rPr>
          <w:b/>
          <w:bCs/>
          <w:sz w:val="24"/>
          <w:szCs w:val="24"/>
        </w:rPr>
      </w:pPr>
    </w:p>
    <w:p w14:paraId="74C1D1B7" w14:textId="77777777" w:rsidR="00CF2C82" w:rsidRDefault="00CF2C82">
      <w:pPr>
        <w:spacing w:before="240" w:after="240"/>
        <w:rPr>
          <w:b/>
          <w:bCs/>
          <w:sz w:val="24"/>
          <w:szCs w:val="24"/>
        </w:rPr>
      </w:pPr>
    </w:p>
    <w:p w14:paraId="74C1D1B8" w14:textId="77777777" w:rsidR="00CF2C82" w:rsidRDefault="00CF2C82">
      <w:pPr>
        <w:spacing w:before="240" w:after="240"/>
        <w:rPr>
          <w:b/>
          <w:bCs/>
          <w:sz w:val="24"/>
          <w:szCs w:val="24"/>
        </w:rPr>
      </w:pPr>
    </w:p>
    <w:p w14:paraId="74C1D1B9" w14:textId="77777777" w:rsidR="00CF2C82" w:rsidRDefault="00CF2C82">
      <w:pPr>
        <w:spacing w:before="240" w:after="240"/>
        <w:rPr>
          <w:b/>
          <w:bCs/>
          <w:sz w:val="24"/>
          <w:szCs w:val="24"/>
        </w:rPr>
      </w:pPr>
    </w:p>
    <w:p w14:paraId="74C1D1BA" w14:textId="77777777" w:rsidR="00CF2C82" w:rsidRDefault="00CF2C82">
      <w:pPr>
        <w:spacing w:before="240" w:after="240"/>
        <w:rPr>
          <w:b/>
          <w:bCs/>
          <w:sz w:val="24"/>
          <w:szCs w:val="24"/>
        </w:rPr>
      </w:pPr>
    </w:p>
    <w:p w14:paraId="74C1D1BB" w14:textId="77777777" w:rsidR="00CF2C82" w:rsidRDefault="00CF2C82">
      <w:pPr>
        <w:spacing w:before="240" w:after="240"/>
        <w:rPr>
          <w:b/>
          <w:bCs/>
          <w:sz w:val="24"/>
          <w:szCs w:val="24"/>
        </w:rPr>
      </w:pPr>
    </w:p>
    <w:p w14:paraId="74C1D1BC" w14:textId="77777777" w:rsidR="00CF2C82" w:rsidRDefault="00CF2C82">
      <w:pPr>
        <w:spacing w:before="240" w:after="240"/>
        <w:rPr>
          <w:b/>
          <w:bCs/>
          <w:sz w:val="24"/>
          <w:szCs w:val="24"/>
        </w:rPr>
      </w:pPr>
    </w:p>
    <w:p w14:paraId="74C1D1BD" w14:textId="77777777" w:rsidR="00CF2C82" w:rsidRDefault="00CF2C82">
      <w:pPr>
        <w:spacing w:before="240" w:after="240"/>
        <w:rPr>
          <w:b/>
          <w:bCs/>
          <w:sz w:val="24"/>
          <w:szCs w:val="24"/>
        </w:rPr>
      </w:pPr>
    </w:p>
    <w:p w14:paraId="74C1D1BE" w14:textId="77777777" w:rsidR="00CF2C82" w:rsidRDefault="009F54A0">
      <w:pPr>
        <w:pStyle w:val="Ttulo1"/>
        <w:jc w:val="center"/>
        <w:rPr>
          <w:b/>
          <w:bCs/>
          <w:sz w:val="24"/>
          <w:szCs w:val="24"/>
        </w:rPr>
      </w:pPr>
      <w:bookmarkStart w:id="16" w:name="_Toc228956537"/>
      <w:r>
        <w:rPr>
          <w:b/>
          <w:bCs/>
          <w:sz w:val="24"/>
          <w:szCs w:val="24"/>
        </w:rPr>
        <w:t>Capítulo 1. Presentación y alcance</w:t>
      </w:r>
      <w:bookmarkEnd w:id="16"/>
    </w:p>
    <w:p w14:paraId="74C1D1BF" w14:textId="77777777" w:rsidR="00CF2C82" w:rsidRDefault="009F54A0">
      <w:pPr>
        <w:jc w:val="both"/>
        <w:rPr>
          <w:sz w:val="24"/>
          <w:szCs w:val="24"/>
        </w:rPr>
      </w:pPr>
      <w:r>
        <w:rPr>
          <w:sz w:val="24"/>
          <w:szCs w:val="24"/>
        </w:rPr>
        <w:t>Este capítulo presenta las generalidades del trámite de cesión gratuita de bienes fiscales a particulares, explicando de manera clara su objetivo, alcance y el marco legal que lo respalda.</w:t>
      </w:r>
    </w:p>
    <w:p w14:paraId="74C1D1C0" w14:textId="77777777" w:rsidR="00CF2C82" w:rsidRDefault="00CF2C82">
      <w:pPr>
        <w:jc w:val="both"/>
        <w:rPr>
          <w:sz w:val="24"/>
          <w:szCs w:val="24"/>
        </w:rPr>
      </w:pPr>
    </w:p>
    <w:p w14:paraId="74C1D1C1" w14:textId="77777777" w:rsidR="00CF2C82" w:rsidRDefault="009F54A0">
      <w:pPr>
        <w:jc w:val="both"/>
        <w:rPr>
          <w:sz w:val="24"/>
          <w:szCs w:val="24"/>
        </w:rPr>
      </w:pPr>
      <w:r>
        <w:rPr>
          <w:sz w:val="24"/>
          <w:szCs w:val="24"/>
        </w:rPr>
        <w:t>El proceso de cesión gratuita de bienes fiscales tiene como finalidad formalizar la ocupación legítima de predios destinados a vivienda, reconociendo el derecho de propiedad a quienes los habitan y cumplen con los requisitos legales, sin costo alguno. Su objetivo principal es garantizar el acceso a una vivienda digna, fortalecer la seguridad jurídica, reducir la informalidad en la propiedad, generando un impacto fiscal positivo para el municipio. De igual manera, permite a los municipios regularizar asentamientos urbanos formalizables y mejorar la administración del patrimonio público, beneficiando principalmente a familias que ocupan estos bienes con fines habitacionales.</w:t>
      </w:r>
    </w:p>
    <w:p w14:paraId="74C1D1C2" w14:textId="77777777" w:rsidR="00CF2C82" w:rsidRDefault="00CF2C82">
      <w:pPr>
        <w:jc w:val="both"/>
        <w:rPr>
          <w:sz w:val="24"/>
          <w:szCs w:val="24"/>
        </w:rPr>
      </w:pPr>
    </w:p>
    <w:p w14:paraId="74C1D1C3" w14:textId="77777777" w:rsidR="00CF2C82" w:rsidRDefault="009F54A0">
      <w:pPr>
        <w:jc w:val="both"/>
        <w:rPr>
          <w:sz w:val="24"/>
          <w:szCs w:val="24"/>
        </w:rPr>
      </w:pPr>
      <w:r>
        <w:rPr>
          <w:sz w:val="24"/>
          <w:szCs w:val="24"/>
        </w:rPr>
        <w:t>El marco normativo que regula la cesión gratuita de bienes fiscales a particulares se sustenta en disposiciones constitucionales, legales y reglamentarias, entre las que destacan la Ley 1955 de 2019, reglamentada por los Decretos 149 de 2020 y 523 de 2021, así como la Ley 2044 de 2020 y otras normas complementarias. Este conjunto de normas proporciona a los municipios el soporte jurídico necesario para adelantar procesos de saneamiento mobiliario municipal, garantizando seguridad jurídica y coherencia con las políticas de ordenamiento territorial y desarrollo urbano.</w:t>
      </w:r>
    </w:p>
    <w:p w14:paraId="74C1D1C4" w14:textId="77777777" w:rsidR="00CF2C82" w:rsidRDefault="00CF2C82">
      <w:pPr>
        <w:jc w:val="both"/>
        <w:rPr>
          <w:sz w:val="24"/>
          <w:szCs w:val="24"/>
        </w:rPr>
      </w:pPr>
    </w:p>
    <w:tbl>
      <w:tblPr>
        <w:tblStyle w:val="a"/>
        <w:tblW w:w="90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52"/>
      </w:tblGrid>
      <w:tr w:rsidR="00CF2C82" w14:paraId="74C1D1C6" w14:textId="77777777">
        <w:tc>
          <w:tcPr>
            <w:tcW w:w="9052" w:type="dxa"/>
            <w:tcMar>
              <w:top w:w="100" w:type="dxa"/>
              <w:left w:w="100" w:type="dxa"/>
              <w:bottom w:w="100" w:type="dxa"/>
              <w:right w:w="100" w:type="dxa"/>
            </w:tcMar>
          </w:tcPr>
          <w:p w14:paraId="74C1D1C5" w14:textId="77777777" w:rsidR="00CF2C82" w:rsidRDefault="009F54A0">
            <w:pPr>
              <w:jc w:val="both"/>
              <w:rPr>
                <w:sz w:val="24"/>
                <w:szCs w:val="24"/>
              </w:rPr>
            </w:pPr>
            <w:r>
              <w:rPr>
                <w:sz w:val="24"/>
                <w:szCs w:val="24"/>
              </w:rPr>
              <w:t xml:space="preserve">Las normas anteriores, se complementan con disposiciones legales de diferente rango normativo compiladas en el Anexo </w:t>
            </w:r>
            <w:proofErr w:type="spellStart"/>
            <w:r>
              <w:rPr>
                <w:sz w:val="24"/>
                <w:szCs w:val="24"/>
              </w:rPr>
              <w:t>N°</w:t>
            </w:r>
            <w:proofErr w:type="spellEnd"/>
            <w:r>
              <w:rPr>
                <w:sz w:val="24"/>
                <w:szCs w:val="24"/>
              </w:rPr>
              <w:t xml:space="preserve"> 1 de esta Cartilla.</w:t>
            </w:r>
          </w:p>
        </w:tc>
      </w:tr>
    </w:tbl>
    <w:p w14:paraId="74C1D1C7" w14:textId="77777777" w:rsidR="00CF2C82" w:rsidRDefault="00CF2C82">
      <w:pPr>
        <w:jc w:val="both"/>
        <w:rPr>
          <w:b/>
          <w:bCs/>
          <w:sz w:val="24"/>
          <w:szCs w:val="24"/>
        </w:rPr>
      </w:pPr>
    </w:p>
    <w:p w14:paraId="74C1D1C8" w14:textId="77777777" w:rsidR="00CF2C82" w:rsidRDefault="009F54A0">
      <w:pPr>
        <w:jc w:val="both"/>
        <w:rPr>
          <w:sz w:val="24"/>
          <w:szCs w:val="24"/>
        </w:rPr>
      </w:pPr>
      <w:r>
        <w:rPr>
          <w:sz w:val="24"/>
          <w:szCs w:val="24"/>
        </w:rPr>
        <w:t>Para iniciar el trámite de cesión gratuita de bienes fiscales a particulares, los municipios deben haber identificado previamente estos bienes dentro de su inventario inmobiliario municipal, proceso que se explica en la Cartilla No. 1 “</w:t>
      </w:r>
      <w:r>
        <w:rPr>
          <w:i/>
          <w:iCs/>
          <w:sz w:val="24"/>
          <w:szCs w:val="24"/>
        </w:rPr>
        <w:t>Conformación del inventario municipal de inmuebles y asignación de rutas para su saneamiento</w:t>
      </w:r>
      <w:r>
        <w:rPr>
          <w:sz w:val="24"/>
          <w:szCs w:val="24"/>
        </w:rPr>
        <w:t>”, y posteriormente haber realizado su transformación, según lo indicado en la Cartilla No. 2 “</w:t>
      </w:r>
      <w:r>
        <w:rPr>
          <w:i/>
          <w:iCs/>
          <w:sz w:val="24"/>
          <w:szCs w:val="24"/>
        </w:rPr>
        <w:t>Transformación de bienes baldíos urbanos a bienes fiscales o bienes fiscales titulables o bienes de uso público</w:t>
      </w:r>
      <w:r>
        <w:rPr>
          <w:sz w:val="24"/>
          <w:szCs w:val="24"/>
        </w:rPr>
        <w:t xml:space="preserve">”. </w:t>
      </w:r>
    </w:p>
    <w:p w14:paraId="74C1D1C9" w14:textId="77777777" w:rsidR="00CF2C82" w:rsidRDefault="00CF2C82">
      <w:pPr>
        <w:jc w:val="both"/>
        <w:rPr>
          <w:sz w:val="24"/>
          <w:szCs w:val="24"/>
        </w:rPr>
      </w:pPr>
    </w:p>
    <w:p w14:paraId="74C1D1CA" w14:textId="77777777" w:rsidR="00CF2C82" w:rsidRDefault="009F54A0">
      <w:pPr>
        <w:jc w:val="both"/>
        <w:rPr>
          <w:sz w:val="24"/>
          <w:szCs w:val="24"/>
        </w:rPr>
      </w:pPr>
      <w:r>
        <w:rPr>
          <w:sz w:val="24"/>
          <w:szCs w:val="24"/>
        </w:rPr>
        <w:lastRenderedPageBreak/>
        <w:t xml:space="preserve">Partiendo de este trabajo previo, esta cartilla se centra en los predios clasificados como bienes fiscales ubicados en suelo urbano, cuya información debe estar organizada en una base de datos, seleccionando aquellos registros que cumplan con las condiciones: </w:t>
      </w:r>
      <w:proofErr w:type="spellStart"/>
      <w:r>
        <w:rPr>
          <w:sz w:val="24"/>
          <w:szCs w:val="24"/>
        </w:rPr>
        <w:t>Tipo_Bien</w:t>
      </w:r>
      <w:proofErr w:type="spellEnd"/>
      <w:r>
        <w:rPr>
          <w:sz w:val="24"/>
          <w:szCs w:val="24"/>
        </w:rPr>
        <w:t xml:space="preserve"> = “Fiscal” y </w:t>
      </w:r>
      <w:proofErr w:type="spellStart"/>
      <w:r>
        <w:rPr>
          <w:sz w:val="24"/>
          <w:szCs w:val="24"/>
        </w:rPr>
        <w:t>Clasificacion_Suelo</w:t>
      </w:r>
      <w:proofErr w:type="spellEnd"/>
      <w:r>
        <w:rPr>
          <w:sz w:val="24"/>
          <w:szCs w:val="24"/>
        </w:rPr>
        <w:t xml:space="preserve"> = “Urbano”</w:t>
      </w:r>
      <w:r>
        <w:rPr>
          <w:sz w:val="24"/>
          <w:szCs w:val="24"/>
          <w:vertAlign w:val="superscript"/>
        </w:rPr>
        <w:footnoteReference w:id="1"/>
      </w:r>
      <w:r>
        <w:rPr>
          <w:sz w:val="24"/>
          <w:szCs w:val="24"/>
        </w:rPr>
        <w:t>.</w:t>
      </w:r>
    </w:p>
    <w:p w14:paraId="74C1D1CB" w14:textId="77777777" w:rsidR="00CF2C82" w:rsidRDefault="00CF2C82">
      <w:pPr>
        <w:spacing w:before="240" w:after="240"/>
        <w:jc w:val="both"/>
        <w:rPr>
          <w:sz w:val="24"/>
          <w:szCs w:val="24"/>
        </w:rPr>
      </w:pPr>
    </w:p>
    <w:p w14:paraId="74C1D1CC" w14:textId="77777777" w:rsidR="00CF2C82" w:rsidRDefault="009F54A0">
      <w:pPr>
        <w:pStyle w:val="Ttulo1"/>
        <w:jc w:val="center"/>
        <w:rPr>
          <w:b/>
          <w:bCs/>
          <w:sz w:val="24"/>
          <w:szCs w:val="24"/>
        </w:rPr>
      </w:pPr>
      <w:bookmarkStart w:id="17" w:name="_Toc228956538"/>
      <w:r>
        <w:rPr>
          <w:b/>
          <w:bCs/>
          <w:sz w:val="24"/>
          <w:szCs w:val="24"/>
        </w:rPr>
        <w:t>Capítulo 2. Pasos para el proceso de cesión a título gratuito de bienes fiscales a particulares</w:t>
      </w:r>
      <w:bookmarkEnd w:id="17"/>
    </w:p>
    <w:p w14:paraId="74C1D1CD" w14:textId="77777777" w:rsidR="00CF2C82" w:rsidRDefault="009F54A0">
      <w:pPr>
        <w:jc w:val="both"/>
        <w:rPr>
          <w:b/>
          <w:bCs/>
          <w:sz w:val="24"/>
          <w:szCs w:val="24"/>
        </w:rPr>
      </w:pPr>
      <w:r>
        <w:rPr>
          <w:sz w:val="24"/>
          <w:szCs w:val="24"/>
        </w:rPr>
        <w:t>El proceso de cesión gratuita de bienes fiscales a particulares se organiza en pasos que guían su desarrollo de manera ordenada: desde el inicio del trámite y la verificación de requisitos, hasta la expedición del acto administrativo de cesión y la actualización del inventario municipal inmobiliario y catastral. Estos pasos permiten que el proceso se lleve a cabo de forma clara y eficiente</w:t>
      </w:r>
      <w:r>
        <w:rPr>
          <w:b/>
          <w:bCs/>
          <w:sz w:val="24"/>
          <w:szCs w:val="24"/>
        </w:rPr>
        <w:t>.</w:t>
      </w:r>
    </w:p>
    <w:p w14:paraId="74C1D1CE" w14:textId="77777777" w:rsidR="00CF2C82" w:rsidRDefault="00CF2C82">
      <w:pPr>
        <w:jc w:val="both"/>
        <w:rPr>
          <w:b/>
          <w:bCs/>
          <w:sz w:val="24"/>
          <w:szCs w:val="24"/>
        </w:rPr>
      </w:pPr>
    </w:p>
    <w:p w14:paraId="74C1D1CF" w14:textId="77777777" w:rsidR="00CF2C82" w:rsidRDefault="009F54A0">
      <w:pPr>
        <w:pBdr>
          <w:top w:val="nil"/>
          <w:left w:val="nil"/>
          <w:bottom w:val="nil"/>
          <w:right w:val="nil"/>
          <w:between w:val="nil"/>
        </w:pBdr>
        <w:spacing w:after="200" w:line="240" w:lineRule="auto"/>
        <w:jc w:val="center"/>
        <w:rPr>
          <w:b/>
          <w:bCs/>
          <w:i/>
          <w:iCs/>
          <w:color w:val="000000"/>
          <w:sz w:val="24"/>
          <w:szCs w:val="24"/>
        </w:rPr>
      </w:pPr>
      <w:bookmarkStart w:id="18" w:name="_heading=h.bqoxxit1zhzb" w:colFirst="0" w:colLast="0"/>
      <w:bookmarkEnd w:id="18"/>
      <w:r>
        <w:rPr>
          <w:b/>
          <w:bCs/>
          <w:i/>
          <w:iCs/>
          <w:color w:val="000000"/>
          <w:sz w:val="24"/>
          <w:szCs w:val="24"/>
        </w:rPr>
        <w:t xml:space="preserve">Gráfica </w:t>
      </w:r>
      <w:proofErr w:type="gramStart"/>
      <w:r>
        <w:rPr>
          <w:b/>
          <w:bCs/>
          <w:i/>
          <w:iCs/>
          <w:color w:val="000000"/>
          <w:sz w:val="24"/>
          <w:szCs w:val="24"/>
        </w:rPr>
        <w:t>No.  2</w:t>
      </w:r>
      <w:proofErr w:type="gramEnd"/>
      <w:r>
        <w:rPr>
          <w:b/>
          <w:bCs/>
          <w:i/>
          <w:iCs/>
          <w:color w:val="000000"/>
          <w:sz w:val="24"/>
          <w:szCs w:val="24"/>
        </w:rPr>
        <w:t>. Pasos para el proceso de cesión a título gratuito de bienes fiscales a particulares</w:t>
      </w:r>
    </w:p>
    <w:p w14:paraId="74C1D1D0" w14:textId="77777777" w:rsidR="00CF2C82" w:rsidRDefault="00CF2C82">
      <w:pPr>
        <w:jc w:val="center"/>
        <w:rPr>
          <w:sz w:val="24"/>
          <w:szCs w:val="24"/>
        </w:rPr>
      </w:pPr>
    </w:p>
    <w:p w14:paraId="74C1D1D1" w14:textId="77777777" w:rsidR="00CF2C82" w:rsidRDefault="009F54A0">
      <w:pPr>
        <w:jc w:val="center"/>
        <w:rPr>
          <w:sz w:val="24"/>
          <w:szCs w:val="24"/>
        </w:rPr>
      </w:pPr>
      <w:r>
        <w:rPr>
          <w:noProof/>
          <w:sz w:val="24"/>
          <w:szCs w:val="24"/>
        </w:rPr>
        <w:drawing>
          <wp:inline distT="114300" distB="114300" distL="114300" distR="114300" wp14:anchorId="74C1D304" wp14:editId="74C1D305">
            <wp:extent cx="5743575" cy="2417843"/>
            <wp:effectExtent l="0" t="0" r="0" b="0"/>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t="21908" b="21908"/>
                    <a:stretch>
                      <a:fillRect/>
                    </a:stretch>
                  </pic:blipFill>
                  <pic:spPr>
                    <a:xfrm>
                      <a:off x="0" y="0"/>
                      <a:ext cx="5743575" cy="2417843"/>
                    </a:xfrm>
                    <a:prstGeom prst="rect">
                      <a:avLst/>
                    </a:prstGeom>
                    <a:ln/>
                  </pic:spPr>
                </pic:pic>
              </a:graphicData>
            </a:graphic>
          </wp:inline>
        </w:drawing>
      </w:r>
    </w:p>
    <w:p w14:paraId="74C1D1D2" w14:textId="77777777" w:rsidR="00CF2C82" w:rsidRDefault="009F54A0">
      <w:pPr>
        <w:jc w:val="center"/>
        <w:rPr>
          <w:sz w:val="18"/>
          <w:szCs w:val="18"/>
        </w:rPr>
      </w:pPr>
      <w:r>
        <w:rPr>
          <w:sz w:val="18"/>
          <w:szCs w:val="18"/>
        </w:rPr>
        <w:t>Fuente: Elaboración propia</w:t>
      </w:r>
    </w:p>
    <w:p w14:paraId="74C1D1D3" w14:textId="77777777" w:rsidR="00CF2C82" w:rsidRDefault="00CF2C82">
      <w:pPr>
        <w:jc w:val="center"/>
        <w:rPr>
          <w:sz w:val="18"/>
          <w:szCs w:val="18"/>
        </w:rPr>
      </w:pPr>
    </w:p>
    <w:p w14:paraId="74C1D1D4" w14:textId="77777777" w:rsidR="00CF2C82" w:rsidRDefault="00CF2C82">
      <w:pPr>
        <w:rPr>
          <w:sz w:val="24"/>
          <w:szCs w:val="24"/>
        </w:rPr>
      </w:pPr>
    </w:p>
    <w:p w14:paraId="74C1D1D5" w14:textId="77777777" w:rsidR="00CF2C82" w:rsidRDefault="009F54A0">
      <w:pPr>
        <w:jc w:val="both"/>
        <w:rPr>
          <w:sz w:val="24"/>
          <w:szCs w:val="24"/>
        </w:rPr>
      </w:pPr>
      <w:r>
        <w:rPr>
          <w:b/>
          <w:bCs/>
          <w:sz w:val="24"/>
          <w:szCs w:val="24"/>
        </w:rPr>
        <w:t>Nota:</w:t>
      </w:r>
      <w:r>
        <w:rPr>
          <w:sz w:val="24"/>
          <w:szCs w:val="24"/>
        </w:rPr>
        <w:t xml:space="preserve"> Cuando la verificación jurídica y/o técnica realizada en otras Cartillas ya haya sido adelantada y sus resultados se mantengan vigentes y correspondan a la realidad, dicha información podrá utilizarse como insumo válido para soportar el trámite desarrollado en la presente cartilla. </w:t>
      </w:r>
    </w:p>
    <w:p w14:paraId="74C1D1D6" w14:textId="77777777" w:rsidR="00CF2C82" w:rsidRDefault="00CF2C82">
      <w:pPr>
        <w:jc w:val="both"/>
        <w:rPr>
          <w:sz w:val="24"/>
          <w:szCs w:val="24"/>
        </w:rPr>
      </w:pPr>
    </w:p>
    <w:p w14:paraId="74C1D1D7" w14:textId="77777777" w:rsidR="00CF2C82" w:rsidRDefault="009F54A0">
      <w:pPr>
        <w:pStyle w:val="Ttulo2"/>
        <w:jc w:val="both"/>
        <w:rPr>
          <w:b/>
          <w:bCs/>
          <w:sz w:val="24"/>
          <w:szCs w:val="24"/>
        </w:rPr>
      </w:pPr>
      <w:bookmarkStart w:id="19" w:name="_Toc228956539"/>
      <w:r>
        <w:rPr>
          <w:b/>
          <w:bCs/>
          <w:sz w:val="24"/>
          <w:szCs w:val="24"/>
        </w:rPr>
        <w:t>2.1 Paso 1:  Identificación Jurídica</w:t>
      </w:r>
      <w:bookmarkEnd w:id="19"/>
      <w:r>
        <w:rPr>
          <w:b/>
          <w:bCs/>
          <w:sz w:val="24"/>
          <w:szCs w:val="24"/>
        </w:rPr>
        <w:t xml:space="preserve"> </w:t>
      </w:r>
    </w:p>
    <w:p w14:paraId="74C1D1D8" w14:textId="77777777" w:rsidR="00CF2C82" w:rsidRDefault="009F54A0">
      <w:pPr>
        <w:jc w:val="both"/>
        <w:rPr>
          <w:sz w:val="24"/>
          <w:szCs w:val="24"/>
        </w:rPr>
      </w:pPr>
      <w:r>
        <w:rPr>
          <w:sz w:val="24"/>
          <w:szCs w:val="24"/>
        </w:rPr>
        <w:t>La naturaleza jurídica del inmueble que se pretende ceder se establece mediante su declaratoria a favor del municipio como bien fiscal, registrada en el correspondiente folio de matrícula inmobiliaria. Esta declaratoria permite confirmar que el predio es susceptible de titulación y que la titularidad y el pleno dominio corresponden a la Entidad Territorial. Además, es esencial verificar que el inmueble esté libre de gravámenes, limitaciones al dominio o afectaciones legales que puedan impedir su transferencia; de encontrarse alguna de estas situaciones, deberán subsanarse antes de continuar con el trámite, pues, de lo contrario, constituirán una causal de terminación del proceso.</w:t>
      </w:r>
    </w:p>
    <w:p w14:paraId="74C1D1D9" w14:textId="77777777" w:rsidR="00CF2C82" w:rsidRDefault="009F54A0">
      <w:pPr>
        <w:pStyle w:val="Ttulo2"/>
        <w:rPr>
          <w:b/>
          <w:bCs/>
          <w:sz w:val="24"/>
          <w:szCs w:val="24"/>
        </w:rPr>
      </w:pPr>
      <w:bookmarkStart w:id="20" w:name="_Toc228956540"/>
      <w:r>
        <w:rPr>
          <w:b/>
          <w:bCs/>
          <w:sz w:val="24"/>
          <w:szCs w:val="24"/>
        </w:rPr>
        <w:t>2.2 Paso 2: Identificación Técnica</w:t>
      </w:r>
      <w:bookmarkEnd w:id="20"/>
      <w:r>
        <w:rPr>
          <w:b/>
          <w:bCs/>
          <w:sz w:val="24"/>
          <w:szCs w:val="24"/>
        </w:rPr>
        <w:t xml:space="preserve"> </w:t>
      </w:r>
    </w:p>
    <w:p w14:paraId="74C1D1DA" w14:textId="77777777" w:rsidR="00CF2C82" w:rsidRDefault="009F54A0">
      <w:pPr>
        <w:jc w:val="both"/>
        <w:rPr>
          <w:sz w:val="24"/>
          <w:szCs w:val="24"/>
        </w:rPr>
      </w:pPr>
      <w:r>
        <w:rPr>
          <w:sz w:val="24"/>
          <w:szCs w:val="24"/>
        </w:rPr>
        <w:t>Una vez surtida la validación de la identificación jurídica, se deben realizar las acciones técnicas necesarias para establecer y/o validar la identificación física del bien inmueble. Este proceso contempla tres (3) fases fundamentales:</w:t>
      </w:r>
    </w:p>
    <w:p w14:paraId="74C1D1DB" w14:textId="77777777" w:rsidR="00CF2C82" w:rsidRDefault="009F54A0">
      <w:pPr>
        <w:pStyle w:val="Ttulo3"/>
        <w:numPr>
          <w:ilvl w:val="0"/>
          <w:numId w:val="4"/>
        </w:numPr>
        <w:rPr>
          <w:b/>
          <w:bCs/>
          <w:sz w:val="24"/>
          <w:szCs w:val="24"/>
        </w:rPr>
      </w:pPr>
      <w:bookmarkStart w:id="21" w:name="_Toc228956541"/>
      <w:r>
        <w:rPr>
          <w:b/>
          <w:bCs/>
          <w:color w:val="000000"/>
          <w:sz w:val="24"/>
          <w:szCs w:val="24"/>
        </w:rPr>
        <w:t>Corroborar con el Plan de Ordenamiento Territorial (POT)</w:t>
      </w:r>
      <w:bookmarkEnd w:id="21"/>
    </w:p>
    <w:p w14:paraId="74C1D1DC" w14:textId="77777777" w:rsidR="00CF2C82" w:rsidRDefault="009F54A0">
      <w:pPr>
        <w:jc w:val="both"/>
        <w:rPr>
          <w:sz w:val="24"/>
          <w:szCs w:val="24"/>
        </w:rPr>
      </w:pPr>
      <w:r>
        <w:rPr>
          <w:sz w:val="24"/>
          <w:szCs w:val="24"/>
        </w:rPr>
        <w:t>La primera fase consiste en la verificación normativa y espacial del predio frente al POT o los instrumentos que lo desarrollen o complementen, la cual debe estar soportada en una certificación expedida por la Secretaría de Planeación o entidad competente. Esta confrontación permite determinar:</w:t>
      </w:r>
    </w:p>
    <w:p w14:paraId="74C1D1DD" w14:textId="77777777" w:rsidR="00CF2C82" w:rsidRDefault="00CF2C82">
      <w:pPr>
        <w:jc w:val="both"/>
        <w:rPr>
          <w:sz w:val="24"/>
          <w:szCs w:val="24"/>
        </w:rPr>
      </w:pPr>
    </w:p>
    <w:p w14:paraId="74C1D1DE" w14:textId="77777777" w:rsidR="00CF2C82" w:rsidRDefault="009F54A0">
      <w:pPr>
        <w:numPr>
          <w:ilvl w:val="0"/>
          <w:numId w:val="5"/>
        </w:numPr>
        <w:pBdr>
          <w:top w:val="nil"/>
          <w:left w:val="nil"/>
          <w:bottom w:val="nil"/>
          <w:right w:val="nil"/>
          <w:between w:val="nil"/>
        </w:pBdr>
        <w:jc w:val="both"/>
        <w:rPr>
          <w:color w:val="000000"/>
          <w:sz w:val="24"/>
          <w:szCs w:val="24"/>
        </w:rPr>
      </w:pPr>
      <w:r>
        <w:rPr>
          <w:color w:val="000000"/>
          <w:sz w:val="24"/>
          <w:szCs w:val="24"/>
        </w:rPr>
        <w:t>Si el predio se encuentra dentro del perímetro urbano del municipio o distrito.</w:t>
      </w:r>
    </w:p>
    <w:p w14:paraId="74C1D1DF" w14:textId="77777777" w:rsidR="00CF2C82" w:rsidRDefault="009F54A0">
      <w:pPr>
        <w:numPr>
          <w:ilvl w:val="0"/>
          <w:numId w:val="5"/>
        </w:numPr>
        <w:pBdr>
          <w:top w:val="nil"/>
          <w:left w:val="nil"/>
          <w:bottom w:val="nil"/>
          <w:right w:val="nil"/>
          <w:between w:val="nil"/>
        </w:pBdr>
        <w:jc w:val="both"/>
        <w:rPr>
          <w:color w:val="000000"/>
          <w:sz w:val="24"/>
          <w:szCs w:val="24"/>
        </w:rPr>
      </w:pPr>
      <w:r>
        <w:rPr>
          <w:color w:val="000000"/>
          <w:sz w:val="24"/>
          <w:szCs w:val="24"/>
        </w:rPr>
        <w:t>Si no está ubicado en áreas insalubres, de alto riesgo no mitigable, zonas de conservación o protección ambiental, ni en las demás áreas restringidas conforme a los artículos 35 y 37 de la Ley 388 de 1997.</w:t>
      </w:r>
    </w:p>
    <w:p w14:paraId="74C1D1E0" w14:textId="77777777" w:rsidR="00CF2C82" w:rsidRDefault="009F54A0">
      <w:pPr>
        <w:numPr>
          <w:ilvl w:val="0"/>
          <w:numId w:val="5"/>
        </w:numPr>
        <w:pBdr>
          <w:top w:val="nil"/>
          <w:left w:val="nil"/>
          <w:bottom w:val="nil"/>
          <w:right w:val="nil"/>
          <w:between w:val="nil"/>
        </w:pBdr>
        <w:jc w:val="both"/>
        <w:rPr>
          <w:color w:val="000000"/>
          <w:sz w:val="24"/>
          <w:szCs w:val="24"/>
        </w:rPr>
      </w:pPr>
      <w:r>
        <w:rPr>
          <w:color w:val="000000"/>
          <w:sz w:val="24"/>
          <w:szCs w:val="24"/>
        </w:rPr>
        <w:t>Si no se superpone con bienes de uso público ni con inmuebles destinados a fines institucionales de salud o educación.</w:t>
      </w:r>
    </w:p>
    <w:p w14:paraId="74C1D1E1" w14:textId="77777777" w:rsidR="00CF2C82" w:rsidRDefault="00CF2C82">
      <w:pPr>
        <w:jc w:val="both"/>
        <w:rPr>
          <w:sz w:val="24"/>
          <w:szCs w:val="24"/>
        </w:rPr>
      </w:pPr>
    </w:p>
    <w:p w14:paraId="74C1D1E2" w14:textId="77777777" w:rsidR="00CF2C82" w:rsidRDefault="009F54A0">
      <w:pPr>
        <w:jc w:val="both"/>
        <w:rPr>
          <w:sz w:val="24"/>
          <w:szCs w:val="24"/>
        </w:rPr>
      </w:pPr>
      <w:r>
        <w:rPr>
          <w:sz w:val="24"/>
          <w:szCs w:val="24"/>
        </w:rPr>
        <w:t xml:space="preserve">Este análisis se realiza mediante la superposición cartográfica del predio sobre la cartografía oficial del POT, validando su compatibilidad con el uso del suelo y su aptitud para asentamientos humanos. </w:t>
      </w:r>
    </w:p>
    <w:p w14:paraId="74C1D1E3" w14:textId="77777777" w:rsidR="00CF2C82" w:rsidRDefault="00CF2C82">
      <w:pPr>
        <w:jc w:val="both"/>
        <w:rPr>
          <w:sz w:val="24"/>
          <w:szCs w:val="24"/>
        </w:rPr>
      </w:pPr>
    </w:p>
    <w:tbl>
      <w:tblPr>
        <w:tblStyle w:val="a0"/>
        <w:tblW w:w="90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52"/>
      </w:tblGrid>
      <w:tr w:rsidR="00CF2C82" w14:paraId="74C1D1E5" w14:textId="77777777">
        <w:tc>
          <w:tcPr>
            <w:tcW w:w="9052" w:type="dxa"/>
            <w:tcMar>
              <w:top w:w="100" w:type="dxa"/>
              <w:left w:w="100" w:type="dxa"/>
              <w:bottom w:w="100" w:type="dxa"/>
              <w:right w:w="100" w:type="dxa"/>
            </w:tcMar>
          </w:tcPr>
          <w:p w14:paraId="74C1D1E4" w14:textId="127A174F" w:rsidR="00CF2C82" w:rsidRDefault="009F54A0">
            <w:pPr>
              <w:shd w:val="clear" w:color="auto" w:fill="FFFFFF"/>
              <w:spacing w:before="240" w:after="240"/>
              <w:jc w:val="both"/>
              <w:rPr>
                <w:sz w:val="24"/>
                <w:szCs w:val="24"/>
              </w:rPr>
            </w:pPr>
            <w:r>
              <w:rPr>
                <w:sz w:val="24"/>
                <w:szCs w:val="24"/>
              </w:rPr>
              <w:t xml:space="preserve">En el caso que el estudio de viabilidad </w:t>
            </w:r>
            <w:r w:rsidR="00DA4885">
              <w:rPr>
                <w:sz w:val="24"/>
                <w:szCs w:val="24"/>
              </w:rPr>
              <w:t>técnica</w:t>
            </w:r>
            <w:r>
              <w:rPr>
                <w:sz w:val="24"/>
                <w:szCs w:val="24"/>
              </w:rPr>
              <w:t xml:space="preserve"> ya haya sido realizado y se encuentra acorde a la realidad, de acuerdo con lo descrito en la Cartilla 2 “Ruta para su </w:t>
            </w:r>
            <w:r>
              <w:rPr>
                <w:sz w:val="24"/>
                <w:szCs w:val="24"/>
              </w:rPr>
              <w:lastRenderedPageBreak/>
              <w:t>transformación en bienes fiscales, bienes fiscales titulables o bienes de uso público”, se pueden utilizar dichos insumos como soporte para continuar con el trámite de cesión a particulares.</w:t>
            </w:r>
          </w:p>
        </w:tc>
      </w:tr>
    </w:tbl>
    <w:p w14:paraId="74C1D1E6" w14:textId="77777777" w:rsidR="00CF2C82" w:rsidRDefault="009F54A0">
      <w:pPr>
        <w:pStyle w:val="Ttulo3"/>
        <w:numPr>
          <w:ilvl w:val="0"/>
          <w:numId w:val="4"/>
        </w:numPr>
        <w:rPr>
          <w:b/>
          <w:bCs/>
          <w:color w:val="000000"/>
          <w:sz w:val="24"/>
          <w:szCs w:val="24"/>
        </w:rPr>
      </w:pPr>
      <w:bookmarkStart w:id="22" w:name="_Toc228956542"/>
      <w:r>
        <w:rPr>
          <w:b/>
          <w:bCs/>
          <w:color w:val="000000"/>
          <w:sz w:val="24"/>
          <w:szCs w:val="24"/>
        </w:rPr>
        <w:lastRenderedPageBreak/>
        <w:t>Socialización y caracterización predial</w:t>
      </w:r>
      <w:bookmarkEnd w:id="22"/>
    </w:p>
    <w:p w14:paraId="74C1D1E7" w14:textId="77777777" w:rsidR="00CF2C82" w:rsidRDefault="009F54A0">
      <w:pPr>
        <w:jc w:val="both"/>
        <w:rPr>
          <w:sz w:val="24"/>
          <w:szCs w:val="24"/>
        </w:rPr>
      </w:pPr>
      <w:r>
        <w:rPr>
          <w:sz w:val="24"/>
          <w:szCs w:val="24"/>
        </w:rPr>
        <w:t>Una vez validada la ubicación normativa del predio, se procede a la fase de socialización y caracterización, que incluye:</w:t>
      </w:r>
    </w:p>
    <w:p w14:paraId="74C1D1E8" w14:textId="77777777" w:rsidR="00CF2C82" w:rsidRDefault="009F54A0">
      <w:pPr>
        <w:numPr>
          <w:ilvl w:val="0"/>
          <w:numId w:val="6"/>
        </w:numPr>
        <w:pBdr>
          <w:top w:val="nil"/>
          <w:left w:val="nil"/>
          <w:bottom w:val="nil"/>
          <w:right w:val="nil"/>
          <w:between w:val="nil"/>
        </w:pBdr>
        <w:jc w:val="both"/>
        <w:rPr>
          <w:color w:val="000000"/>
          <w:sz w:val="24"/>
          <w:szCs w:val="24"/>
        </w:rPr>
      </w:pPr>
      <w:r>
        <w:rPr>
          <w:color w:val="000000"/>
          <w:sz w:val="24"/>
          <w:szCs w:val="24"/>
        </w:rPr>
        <w:t>Reuniones informativas con la comunidad para explicar el alcance del proceso de titulación y los requisitos legales.</w:t>
      </w:r>
    </w:p>
    <w:p w14:paraId="74C1D1E9" w14:textId="77777777" w:rsidR="00CF2C82" w:rsidRDefault="009F54A0">
      <w:pPr>
        <w:numPr>
          <w:ilvl w:val="0"/>
          <w:numId w:val="6"/>
        </w:numPr>
        <w:pBdr>
          <w:top w:val="nil"/>
          <w:left w:val="nil"/>
          <w:bottom w:val="nil"/>
          <w:right w:val="nil"/>
          <w:between w:val="nil"/>
        </w:pBdr>
        <w:jc w:val="both"/>
        <w:rPr>
          <w:color w:val="000000"/>
          <w:sz w:val="24"/>
          <w:szCs w:val="24"/>
        </w:rPr>
      </w:pPr>
      <w:r>
        <w:rPr>
          <w:color w:val="000000"/>
          <w:sz w:val="24"/>
          <w:szCs w:val="24"/>
        </w:rPr>
        <w:t>Aplicación de instrumentos de caracterización socioeconómica y física del predio, que permita verificar:</w:t>
      </w:r>
    </w:p>
    <w:p w14:paraId="74C1D1EA" w14:textId="77777777" w:rsidR="00CF2C82" w:rsidRDefault="009F54A0">
      <w:pPr>
        <w:numPr>
          <w:ilvl w:val="1"/>
          <w:numId w:val="9"/>
        </w:numPr>
        <w:shd w:val="clear" w:color="auto" w:fill="FFFFFF"/>
        <w:jc w:val="both"/>
        <w:rPr>
          <w:sz w:val="24"/>
          <w:szCs w:val="24"/>
        </w:rPr>
      </w:pPr>
      <w:r>
        <w:rPr>
          <w:sz w:val="24"/>
          <w:szCs w:val="24"/>
        </w:rPr>
        <w:t>Identificación del hogar ocupante del bien inmueble</w:t>
      </w:r>
    </w:p>
    <w:p w14:paraId="74C1D1EB" w14:textId="77777777" w:rsidR="00CF2C82" w:rsidRDefault="009F54A0">
      <w:pPr>
        <w:numPr>
          <w:ilvl w:val="1"/>
          <w:numId w:val="9"/>
        </w:numPr>
        <w:shd w:val="clear" w:color="auto" w:fill="FFFFFF"/>
        <w:jc w:val="both"/>
        <w:rPr>
          <w:sz w:val="24"/>
          <w:szCs w:val="24"/>
        </w:rPr>
      </w:pPr>
      <w:r>
        <w:rPr>
          <w:sz w:val="24"/>
          <w:szCs w:val="24"/>
        </w:rPr>
        <w:t>Identificación de mejoras o construcciones con destinación económica habitacional.</w:t>
      </w:r>
    </w:p>
    <w:p w14:paraId="74C1D1EC" w14:textId="77777777" w:rsidR="00CF2C82" w:rsidRDefault="009F54A0">
      <w:pPr>
        <w:numPr>
          <w:ilvl w:val="1"/>
          <w:numId w:val="9"/>
        </w:numPr>
        <w:shd w:val="clear" w:color="auto" w:fill="FFFFFF"/>
        <w:jc w:val="both"/>
        <w:rPr>
          <w:sz w:val="24"/>
          <w:szCs w:val="24"/>
        </w:rPr>
      </w:pPr>
      <w:r>
        <w:rPr>
          <w:sz w:val="24"/>
          <w:szCs w:val="24"/>
        </w:rPr>
        <w:t>Verificación del uso actual del predio y su ocupación efectiva.</w:t>
      </w:r>
    </w:p>
    <w:p w14:paraId="74C1D1ED" w14:textId="77777777" w:rsidR="00CF2C82" w:rsidRDefault="009F54A0">
      <w:pPr>
        <w:numPr>
          <w:ilvl w:val="1"/>
          <w:numId w:val="9"/>
        </w:numPr>
        <w:shd w:val="clear" w:color="auto" w:fill="FFFFFF"/>
        <w:spacing w:after="240"/>
        <w:jc w:val="both"/>
        <w:rPr>
          <w:sz w:val="24"/>
          <w:szCs w:val="24"/>
        </w:rPr>
      </w:pPr>
      <w:r>
        <w:rPr>
          <w:sz w:val="24"/>
          <w:szCs w:val="24"/>
        </w:rPr>
        <w:t>Recopilación de información documental y fotográfica que respalden la ocupación.</w:t>
      </w:r>
    </w:p>
    <w:p w14:paraId="74C1D1EE" w14:textId="77777777" w:rsidR="00CF2C82" w:rsidRDefault="009F54A0">
      <w:pPr>
        <w:shd w:val="clear" w:color="auto" w:fill="FFFFFF"/>
        <w:spacing w:before="240" w:after="240"/>
        <w:jc w:val="both"/>
        <w:rPr>
          <w:sz w:val="24"/>
          <w:szCs w:val="24"/>
        </w:rPr>
      </w:pPr>
      <w:r>
        <w:rPr>
          <w:sz w:val="24"/>
          <w:szCs w:val="24"/>
        </w:rPr>
        <w:t>Esta fase permite conformar un expediente que respalde la solicitud de titulación y facilite el trámite a desarrollar.</w:t>
      </w:r>
    </w:p>
    <w:p w14:paraId="74C1D1EF" w14:textId="77777777" w:rsidR="00CF2C82" w:rsidRDefault="009F54A0">
      <w:pPr>
        <w:pStyle w:val="Ttulo3"/>
        <w:numPr>
          <w:ilvl w:val="0"/>
          <w:numId w:val="4"/>
        </w:numPr>
        <w:rPr>
          <w:b/>
          <w:bCs/>
          <w:color w:val="000000"/>
          <w:sz w:val="24"/>
          <w:szCs w:val="24"/>
        </w:rPr>
      </w:pPr>
      <w:bookmarkStart w:id="23" w:name="_Toc228956543"/>
      <w:r>
        <w:rPr>
          <w:b/>
          <w:bCs/>
          <w:color w:val="000000"/>
          <w:sz w:val="24"/>
          <w:szCs w:val="24"/>
        </w:rPr>
        <w:t>Identificación física del bien inmueble</w:t>
      </w:r>
      <w:bookmarkEnd w:id="23"/>
    </w:p>
    <w:p w14:paraId="74C1D1F0" w14:textId="77777777" w:rsidR="00CF2C82" w:rsidRDefault="009F54A0">
      <w:pPr>
        <w:jc w:val="both"/>
        <w:rPr>
          <w:sz w:val="24"/>
          <w:szCs w:val="24"/>
        </w:rPr>
      </w:pPr>
      <w:r>
        <w:rPr>
          <w:sz w:val="24"/>
          <w:szCs w:val="24"/>
        </w:rPr>
        <w:t xml:space="preserve">Una vez se garantiza que el bien inmueble cuenta con destinación económica habitacional y que el hogar cumple con los requisitos y de requerirse, se debe realizar la correcta identificación física del bien inmueble definiendo los linderos y área de este. Es posible que se solicite la cesión del bien fiscal completo o de parte </w:t>
      </w:r>
      <w:proofErr w:type="gramStart"/>
      <w:r>
        <w:rPr>
          <w:sz w:val="24"/>
          <w:szCs w:val="24"/>
        </w:rPr>
        <w:t>del mismo</w:t>
      </w:r>
      <w:proofErr w:type="gramEnd"/>
      <w:r>
        <w:rPr>
          <w:sz w:val="24"/>
          <w:szCs w:val="24"/>
        </w:rPr>
        <w:t xml:space="preserve">. </w:t>
      </w:r>
    </w:p>
    <w:p w14:paraId="74C1D1F1" w14:textId="77777777" w:rsidR="00CF2C82" w:rsidRDefault="009F54A0">
      <w:pPr>
        <w:jc w:val="both"/>
        <w:rPr>
          <w:sz w:val="24"/>
          <w:szCs w:val="24"/>
        </w:rPr>
      </w:pPr>
      <w:r>
        <w:rPr>
          <w:sz w:val="24"/>
          <w:szCs w:val="24"/>
        </w:rPr>
        <w:t>Para ello se puede adelantar las siguientes acciones:</w:t>
      </w:r>
    </w:p>
    <w:p w14:paraId="74C1D1F2" w14:textId="77777777" w:rsidR="00CF2C82" w:rsidRDefault="00CF2C82">
      <w:pPr>
        <w:jc w:val="both"/>
        <w:rPr>
          <w:b/>
          <w:bCs/>
          <w:sz w:val="24"/>
          <w:szCs w:val="24"/>
        </w:rPr>
      </w:pPr>
    </w:p>
    <w:p w14:paraId="74C1D1F3" w14:textId="77777777" w:rsidR="00CF2C82" w:rsidRDefault="009F54A0">
      <w:pPr>
        <w:numPr>
          <w:ilvl w:val="0"/>
          <w:numId w:val="7"/>
        </w:numPr>
        <w:pBdr>
          <w:top w:val="nil"/>
          <w:left w:val="nil"/>
          <w:bottom w:val="nil"/>
          <w:right w:val="nil"/>
          <w:between w:val="nil"/>
        </w:pBdr>
        <w:jc w:val="both"/>
        <w:rPr>
          <w:b/>
          <w:bCs/>
          <w:color w:val="000000"/>
          <w:sz w:val="24"/>
          <w:szCs w:val="24"/>
        </w:rPr>
      </w:pPr>
      <w:r>
        <w:rPr>
          <w:b/>
          <w:bCs/>
          <w:color w:val="000000"/>
          <w:sz w:val="24"/>
          <w:szCs w:val="24"/>
        </w:rPr>
        <w:t>Solicitud del Certificado Catastral</w:t>
      </w:r>
    </w:p>
    <w:p w14:paraId="74C1D1F4" w14:textId="77777777" w:rsidR="00CF2C82" w:rsidRDefault="00CF2C82">
      <w:pPr>
        <w:jc w:val="both"/>
        <w:rPr>
          <w:sz w:val="24"/>
          <w:szCs w:val="24"/>
        </w:rPr>
      </w:pPr>
    </w:p>
    <w:p w14:paraId="74C1D1F5" w14:textId="77777777" w:rsidR="00CF2C82" w:rsidRDefault="009F54A0">
      <w:pPr>
        <w:jc w:val="both"/>
        <w:rPr>
          <w:sz w:val="24"/>
          <w:szCs w:val="24"/>
        </w:rPr>
      </w:pPr>
      <w:r>
        <w:rPr>
          <w:sz w:val="24"/>
          <w:szCs w:val="24"/>
        </w:rPr>
        <w:t>Como primera medida, se debe consultar la base de datos catastral con el objetivo de identificar si existe información actualizada sobre el área, linderos, construcciones y demás características físicas de los bienes fiscales objeto de estudio. En caso de contar con dicha información, se solicitará al Gestor Catastral la expedición del Certificado Catastral que cuente con el croquis del predio, la nomenclatura vial y domiciliaria, su identificación oficial, las áreas de terreno y construcción, así como las coordenadas planas en el sistema de referencia oficial.</w:t>
      </w:r>
    </w:p>
    <w:p w14:paraId="74C1D1F6" w14:textId="77777777" w:rsidR="00CF2C82" w:rsidRDefault="009F54A0">
      <w:pPr>
        <w:numPr>
          <w:ilvl w:val="0"/>
          <w:numId w:val="9"/>
        </w:numPr>
        <w:pBdr>
          <w:top w:val="nil"/>
          <w:left w:val="nil"/>
          <w:bottom w:val="nil"/>
          <w:right w:val="nil"/>
          <w:between w:val="nil"/>
        </w:pBdr>
        <w:shd w:val="clear" w:color="auto" w:fill="FFFFFF"/>
        <w:spacing w:before="240" w:after="240"/>
        <w:jc w:val="both"/>
        <w:rPr>
          <w:b/>
          <w:bCs/>
          <w:sz w:val="24"/>
          <w:szCs w:val="24"/>
        </w:rPr>
      </w:pPr>
      <w:r>
        <w:rPr>
          <w:b/>
          <w:bCs/>
          <w:sz w:val="24"/>
          <w:szCs w:val="24"/>
        </w:rPr>
        <w:lastRenderedPageBreak/>
        <w:t>Levantamiento topográfico</w:t>
      </w:r>
    </w:p>
    <w:p w14:paraId="74C1D1F7" w14:textId="77777777" w:rsidR="00CF2C82" w:rsidRDefault="009F54A0">
      <w:pPr>
        <w:jc w:val="both"/>
        <w:rPr>
          <w:sz w:val="24"/>
          <w:szCs w:val="24"/>
        </w:rPr>
      </w:pPr>
      <w:r>
        <w:rPr>
          <w:sz w:val="24"/>
          <w:szCs w:val="24"/>
        </w:rPr>
        <w:t>En ausencia de información catastral actualizada o cuando ésta resulte insuficiente para efectos de identificación de los bienes fiscales, se deberá realizar un levantamiento topográfico del predio. Este procedimiento tiene como finalidad obtener una representación planimétrica precisa del bien fiscal, determinando su área, coordenadas georreferenciadas, colindancias junto con las construcciones presentes. El levantamiento debe estar acompañado de un informe técnico que detalle la metodología empleada, los equipos utilizados, las condiciones de campo y los resultados obtenidos, los cuales servirán como soporte de la georreferenciación oficial del inmueble.</w:t>
      </w:r>
    </w:p>
    <w:p w14:paraId="74C1D1F8" w14:textId="77777777" w:rsidR="00CF2C82" w:rsidRDefault="00CF2C82">
      <w:pPr>
        <w:widowControl w:val="0"/>
        <w:spacing w:line="240" w:lineRule="auto"/>
        <w:jc w:val="both"/>
        <w:rPr>
          <w:sz w:val="24"/>
          <w:szCs w:val="24"/>
        </w:rPr>
      </w:pPr>
    </w:p>
    <w:tbl>
      <w:tblPr>
        <w:tblStyle w:val="a1"/>
        <w:tblW w:w="90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52"/>
      </w:tblGrid>
      <w:tr w:rsidR="00CF2C82" w14:paraId="74C1D1FA" w14:textId="77777777">
        <w:tc>
          <w:tcPr>
            <w:tcW w:w="9052" w:type="dxa"/>
            <w:tcMar>
              <w:top w:w="100" w:type="dxa"/>
              <w:left w:w="100" w:type="dxa"/>
              <w:bottom w:w="100" w:type="dxa"/>
              <w:right w:w="100" w:type="dxa"/>
            </w:tcMar>
          </w:tcPr>
          <w:p w14:paraId="74C1D1F9" w14:textId="77777777" w:rsidR="00CF2C82" w:rsidRDefault="009F54A0">
            <w:pPr>
              <w:widowControl w:val="0"/>
              <w:spacing w:line="240" w:lineRule="auto"/>
              <w:jc w:val="both"/>
              <w:rPr>
                <w:sz w:val="24"/>
                <w:szCs w:val="24"/>
              </w:rPr>
            </w:pPr>
            <w:proofErr w:type="gramStart"/>
            <w:r>
              <w:rPr>
                <w:sz w:val="24"/>
                <w:szCs w:val="24"/>
              </w:rPr>
              <w:t>En caso que</w:t>
            </w:r>
            <w:proofErr w:type="gramEnd"/>
            <w:r>
              <w:rPr>
                <w:sz w:val="24"/>
                <w:szCs w:val="24"/>
              </w:rPr>
              <w:t xml:space="preserve"> el bien cuente con información catastral desactualizada o inconsistente se debe adelantar ante el gestor catastral el proceso de rectificación de cabida y linderos. </w:t>
            </w:r>
          </w:p>
        </w:tc>
      </w:tr>
    </w:tbl>
    <w:p w14:paraId="74C1D1FB" w14:textId="77777777" w:rsidR="00CF2C82" w:rsidRDefault="00CF2C82">
      <w:pPr>
        <w:jc w:val="center"/>
        <w:rPr>
          <w:b/>
          <w:bCs/>
          <w:sz w:val="24"/>
          <w:szCs w:val="24"/>
        </w:rPr>
      </w:pPr>
      <w:bookmarkStart w:id="24" w:name="_heading=h.6q6bzbcnq553" w:colFirst="0" w:colLast="0"/>
      <w:bookmarkEnd w:id="24"/>
    </w:p>
    <w:p w14:paraId="74C1D1FC" w14:textId="77777777" w:rsidR="00CF2C82" w:rsidRDefault="00CF2C82">
      <w:pPr>
        <w:keepNext/>
        <w:jc w:val="center"/>
      </w:pPr>
    </w:p>
    <w:p w14:paraId="74C1D1FD" w14:textId="77777777" w:rsidR="00CF2C82" w:rsidRDefault="009F54A0">
      <w:pPr>
        <w:pBdr>
          <w:top w:val="nil"/>
          <w:left w:val="nil"/>
          <w:bottom w:val="nil"/>
          <w:right w:val="nil"/>
          <w:between w:val="nil"/>
        </w:pBdr>
        <w:spacing w:after="200" w:line="240" w:lineRule="auto"/>
        <w:jc w:val="center"/>
        <w:rPr>
          <w:b/>
          <w:bCs/>
          <w:color w:val="000000"/>
          <w:sz w:val="24"/>
          <w:szCs w:val="24"/>
        </w:rPr>
      </w:pPr>
      <w:bookmarkStart w:id="25" w:name="_heading=h.uf1gk1imnkz3" w:colFirst="0" w:colLast="0"/>
      <w:bookmarkEnd w:id="25"/>
      <w:r>
        <w:rPr>
          <w:b/>
          <w:bCs/>
          <w:color w:val="000000"/>
          <w:sz w:val="24"/>
          <w:szCs w:val="24"/>
        </w:rPr>
        <w:t xml:space="preserve">Gráfica </w:t>
      </w:r>
      <w:proofErr w:type="gramStart"/>
      <w:r>
        <w:rPr>
          <w:b/>
          <w:bCs/>
          <w:color w:val="000000"/>
          <w:sz w:val="24"/>
          <w:szCs w:val="24"/>
        </w:rPr>
        <w:t>No.  3</w:t>
      </w:r>
      <w:proofErr w:type="gramEnd"/>
      <w:r>
        <w:rPr>
          <w:b/>
          <w:bCs/>
          <w:color w:val="000000"/>
          <w:sz w:val="24"/>
          <w:szCs w:val="24"/>
        </w:rPr>
        <w:t>. Resumen pasos 1 y 2 sobre identificación jurídica y técnica</w:t>
      </w:r>
    </w:p>
    <w:p w14:paraId="74C1D1FE" w14:textId="77777777" w:rsidR="00CF2C82" w:rsidRDefault="009F54A0">
      <w:pPr>
        <w:shd w:val="clear" w:color="auto" w:fill="FFFFFF"/>
        <w:spacing w:before="240" w:after="240"/>
        <w:jc w:val="center"/>
        <w:rPr>
          <w:sz w:val="24"/>
          <w:szCs w:val="24"/>
        </w:rPr>
      </w:pPr>
      <w:r>
        <w:rPr>
          <w:noProof/>
          <w:sz w:val="24"/>
          <w:szCs w:val="24"/>
        </w:rPr>
        <w:drawing>
          <wp:inline distT="114300" distB="114300" distL="114300" distR="114300" wp14:anchorId="74C1D306" wp14:editId="74C1D307">
            <wp:extent cx="3009015" cy="4265031"/>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3"/>
                    <a:srcRect/>
                    <a:stretch>
                      <a:fillRect/>
                    </a:stretch>
                  </pic:blipFill>
                  <pic:spPr>
                    <a:xfrm>
                      <a:off x="0" y="0"/>
                      <a:ext cx="3009015" cy="4265031"/>
                    </a:xfrm>
                    <a:prstGeom prst="rect">
                      <a:avLst/>
                    </a:prstGeom>
                    <a:ln/>
                  </pic:spPr>
                </pic:pic>
              </a:graphicData>
            </a:graphic>
          </wp:inline>
        </w:drawing>
      </w:r>
    </w:p>
    <w:p w14:paraId="74C1D1FF" w14:textId="77777777" w:rsidR="00CF2C82" w:rsidRDefault="009F54A0">
      <w:pPr>
        <w:shd w:val="clear" w:color="auto" w:fill="FFFFFF"/>
        <w:spacing w:before="240" w:after="240"/>
        <w:jc w:val="center"/>
        <w:rPr>
          <w:sz w:val="24"/>
          <w:szCs w:val="24"/>
        </w:rPr>
      </w:pPr>
      <w:r>
        <w:rPr>
          <w:sz w:val="16"/>
          <w:szCs w:val="16"/>
        </w:rPr>
        <w:lastRenderedPageBreak/>
        <w:t>Fuente: elaboración propia</w:t>
      </w:r>
    </w:p>
    <w:p w14:paraId="74C1D200" w14:textId="77777777" w:rsidR="00CF2C82" w:rsidRDefault="00CF2C82">
      <w:pPr>
        <w:pStyle w:val="Ttulo1"/>
        <w:spacing w:before="240" w:after="240"/>
        <w:rPr>
          <w:b/>
          <w:bCs/>
          <w:sz w:val="24"/>
          <w:szCs w:val="24"/>
        </w:rPr>
      </w:pPr>
      <w:bookmarkStart w:id="26" w:name="_heading=h.cryk297x9fd7" w:colFirst="0" w:colLast="0"/>
      <w:bookmarkEnd w:id="26"/>
    </w:p>
    <w:p w14:paraId="74C1D201" w14:textId="77777777" w:rsidR="00CF2C82" w:rsidRDefault="009F54A0">
      <w:pPr>
        <w:pStyle w:val="Ttulo2"/>
        <w:jc w:val="both"/>
        <w:rPr>
          <w:b/>
          <w:bCs/>
          <w:sz w:val="24"/>
          <w:szCs w:val="24"/>
        </w:rPr>
      </w:pPr>
      <w:bookmarkStart w:id="27" w:name="_Toc228956544"/>
      <w:r>
        <w:rPr>
          <w:b/>
          <w:bCs/>
          <w:sz w:val="24"/>
          <w:szCs w:val="24"/>
        </w:rPr>
        <w:t>2.3 Paso 3:  Inicio y trámite de la cesión gratuita</w:t>
      </w:r>
      <w:bookmarkEnd w:id="27"/>
    </w:p>
    <w:p w14:paraId="74C1D202" w14:textId="77777777" w:rsidR="00CF2C82" w:rsidRDefault="009F54A0">
      <w:pPr>
        <w:shd w:val="clear" w:color="auto" w:fill="FFFFFF"/>
        <w:spacing w:before="240" w:after="240"/>
        <w:jc w:val="both"/>
        <w:rPr>
          <w:sz w:val="24"/>
          <w:szCs w:val="24"/>
        </w:rPr>
      </w:pPr>
      <w:r>
        <w:rPr>
          <w:sz w:val="24"/>
          <w:szCs w:val="24"/>
        </w:rPr>
        <w:t>Los municipios pueden iniciar el trámite de cesión a título gratuito de bienes fiscales de oficio o a solicitud de parte, según las condiciones de ocupación identificadas en su territorio.</w:t>
      </w:r>
    </w:p>
    <w:p w14:paraId="74C1D203" w14:textId="77777777" w:rsidR="00CF2C82" w:rsidRDefault="00CF2C82">
      <w:pPr>
        <w:jc w:val="center"/>
        <w:rPr>
          <w:b/>
          <w:bCs/>
          <w:sz w:val="24"/>
          <w:szCs w:val="24"/>
        </w:rPr>
      </w:pPr>
      <w:bookmarkStart w:id="28" w:name="_heading=h.wd32d113q8kc" w:colFirst="0" w:colLast="0"/>
      <w:bookmarkEnd w:id="28"/>
    </w:p>
    <w:p w14:paraId="74C1D204" w14:textId="77777777" w:rsidR="00CF2C82" w:rsidRDefault="009F54A0">
      <w:pPr>
        <w:pBdr>
          <w:top w:val="nil"/>
          <w:left w:val="nil"/>
          <w:bottom w:val="nil"/>
          <w:right w:val="nil"/>
          <w:between w:val="nil"/>
        </w:pBdr>
        <w:spacing w:after="200" w:line="240" w:lineRule="auto"/>
        <w:jc w:val="center"/>
        <w:rPr>
          <w:b/>
          <w:bCs/>
          <w:color w:val="000000"/>
          <w:sz w:val="24"/>
          <w:szCs w:val="24"/>
        </w:rPr>
      </w:pPr>
      <w:bookmarkStart w:id="29" w:name="_heading=h.xqieifxvdy7a" w:colFirst="0" w:colLast="0"/>
      <w:bookmarkEnd w:id="29"/>
      <w:r>
        <w:rPr>
          <w:b/>
          <w:bCs/>
          <w:color w:val="000000"/>
          <w:sz w:val="24"/>
          <w:szCs w:val="24"/>
        </w:rPr>
        <w:t xml:space="preserve">Gráfica </w:t>
      </w:r>
      <w:proofErr w:type="gramStart"/>
      <w:r>
        <w:rPr>
          <w:b/>
          <w:bCs/>
          <w:color w:val="000000"/>
          <w:sz w:val="24"/>
          <w:szCs w:val="24"/>
        </w:rPr>
        <w:t>No.  4</w:t>
      </w:r>
      <w:proofErr w:type="gramEnd"/>
      <w:r>
        <w:rPr>
          <w:b/>
          <w:bCs/>
          <w:color w:val="000000"/>
          <w:sz w:val="24"/>
          <w:szCs w:val="24"/>
        </w:rPr>
        <w:t>. Formas de iniciar el trámite de cesión a título gratuito</w:t>
      </w:r>
    </w:p>
    <w:p w14:paraId="74C1D205" w14:textId="77777777" w:rsidR="00CF2C82" w:rsidRDefault="009F54A0">
      <w:r>
        <w:rPr>
          <w:noProof/>
        </w:rPr>
        <w:drawing>
          <wp:inline distT="114300" distB="114300" distL="114300" distR="114300" wp14:anchorId="74C1D308" wp14:editId="74C1D309">
            <wp:extent cx="6363746" cy="2762943"/>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6363746" cy="2762943"/>
                    </a:xfrm>
                    <a:prstGeom prst="rect">
                      <a:avLst/>
                    </a:prstGeom>
                    <a:ln/>
                  </pic:spPr>
                </pic:pic>
              </a:graphicData>
            </a:graphic>
          </wp:inline>
        </w:drawing>
      </w:r>
    </w:p>
    <w:p w14:paraId="74C1D206" w14:textId="77777777" w:rsidR="00CF2C82" w:rsidRDefault="009F54A0">
      <w:pPr>
        <w:shd w:val="clear" w:color="auto" w:fill="FFFFFF"/>
        <w:spacing w:before="240" w:after="240"/>
        <w:jc w:val="center"/>
        <w:rPr>
          <w:sz w:val="20"/>
          <w:szCs w:val="20"/>
        </w:rPr>
      </w:pPr>
      <w:r>
        <w:rPr>
          <w:sz w:val="20"/>
          <w:szCs w:val="20"/>
        </w:rPr>
        <w:t>Fuente: elaboración propia</w:t>
      </w:r>
    </w:p>
    <w:p w14:paraId="74C1D207" w14:textId="77777777" w:rsidR="00CF2C82" w:rsidRDefault="00CF2C82">
      <w:pPr>
        <w:shd w:val="clear" w:color="auto" w:fill="FFFFFF"/>
        <w:spacing w:before="240" w:after="240"/>
        <w:jc w:val="center"/>
        <w:rPr>
          <w:sz w:val="20"/>
          <w:szCs w:val="20"/>
        </w:rPr>
      </w:pPr>
    </w:p>
    <w:p w14:paraId="74C1D208" w14:textId="77777777" w:rsidR="00CF2C82" w:rsidRDefault="009F54A0">
      <w:pPr>
        <w:numPr>
          <w:ilvl w:val="0"/>
          <w:numId w:val="7"/>
        </w:numPr>
        <w:pBdr>
          <w:top w:val="nil"/>
          <w:left w:val="nil"/>
          <w:bottom w:val="nil"/>
          <w:right w:val="nil"/>
          <w:between w:val="nil"/>
        </w:pBdr>
        <w:jc w:val="both"/>
        <w:rPr>
          <w:b/>
          <w:bCs/>
          <w:color w:val="000000"/>
          <w:sz w:val="24"/>
          <w:szCs w:val="24"/>
        </w:rPr>
      </w:pPr>
      <w:bookmarkStart w:id="30" w:name="_heading=h.rr7iun4pwdev" w:colFirst="0" w:colLast="0"/>
      <w:bookmarkEnd w:id="30"/>
      <w:r>
        <w:rPr>
          <w:b/>
          <w:bCs/>
          <w:color w:val="000000"/>
          <w:sz w:val="24"/>
          <w:szCs w:val="24"/>
        </w:rPr>
        <w:t>Documentos iniciales</w:t>
      </w:r>
    </w:p>
    <w:p w14:paraId="74C1D209" w14:textId="77777777" w:rsidR="00CF2C82" w:rsidRDefault="00CF2C82">
      <w:pPr>
        <w:jc w:val="both"/>
        <w:rPr>
          <w:sz w:val="24"/>
          <w:szCs w:val="24"/>
        </w:rPr>
      </w:pPr>
      <w:bookmarkStart w:id="31" w:name="_heading=h.9lfs2momyegn" w:colFirst="0" w:colLast="0"/>
      <w:bookmarkEnd w:id="31"/>
    </w:p>
    <w:p w14:paraId="74C1D20A" w14:textId="77777777" w:rsidR="00CF2C82" w:rsidRDefault="009F54A0">
      <w:pPr>
        <w:jc w:val="both"/>
        <w:rPr>
          <w:sz w:val="24"/>
          <w:szCs w:val="24"/>
        </w:rPr>
      </w:pPr>
      <w:r>
        <w:rPr>
          <w:sz w:val="24"/>
          <w:szCs w:val="24"/>
        </w:rPr>
        <w:t>Para iniciar el trámite de cesión gratuita de un bien fiscal, las familias interesadas deben manifestar formalmente su intención de participar. En este sentido, los municipios, atendiendo lo dispuesto en el artículo 2.1.2.2.2.3 del Decreto 1077 de 2015, modificado parcialmente por el Decreto 523 de 2021, pueden solicitar el diligenciamiento de un formulario o la presentación de una carta de intención, mediante los cuales se registran los datos necesarios para dar inicio al proceso de cesión.</w:t>
      </w:r>
    </w:p>
    <w:p w14:paraId="74C1D20B" w14:textId="77777777" w:rsidR="00CF2C82" w:rsidRDefault="00CF2C82">
      <w:pPr>
        <w:jc w:val="both"/>
        <w:rPr>
          <w:sz w:val="24"/>
          <w:szCs w:val="24"/>
        </w:rPr>
      </w:pPr>
    </w:p>
    <w:p w14:paraId="74C1D20C" w14:textId="77777777" w:rsidR="00CF2C82" w:rsidRDefault="00CF2C82">
      <w:pPr>
        <w:jc w:val="both"/>
        <w:rPr>
          <w:sz w:val="24"/>
          <w:szCs w:val="24"/>
        </w:rPr>
      </w:pPr>
    </w:p>
    <w:p w14:paraId="74C1D20D" w14:textId="77777777" w:rsidR="00CF2C82" w:rsidRDefault="00CF2C82">
      <w:pPr>
        <w:jc w:val="both"/>
        <w:rPr>
          <w:sz w:val="24"/>
          <w:szCs w:val="24"/>
        </w:rPr>
      </w:pPr>
    </w:p>
    <w:p w14:paraId="74C1D20E" w14:textId="77777777" w:rsidR="00CF2C82" w:rsidRDefault="00CF2C82">
      <w:pPr>
        <w:jc w:val="both"/>
        <w:rPr>
          <w:sz w:val="24"/>
          <w:szCs w:val="24"/>
        </w:rPr>
      </w:pPr>
    </w:p>
    <w:p w14:paraId="74C1D20F" w14:textId="77777777" w:rsidR="00CF2C82" w:rsidRDefault="009F54A0">
      <w:pPr>
        <w:pBdr>
          <w:top w:val="nil"/>
          <w:left w:val="nil"/>
          <w:bottom w:val="nil"/>
          <w:right w:val="nil"/>
          <w:between w:val="nil"/>
        </w:pBdr>
        <w:spacing w:after="200" w:line="240" w:lineRule="auto"/>
        <w:jc w:val="center"/>
        <w:rPr>
          <w:b/>
          <w:bCs/>
          <w:color w:val="000000"/>
          <w:sz w:val="24"/>
          <w:szCs w:val="24"/>
        </w:rPr>
      </w:pPr>
      <w:bookmarkStart w:id="32" w:name="_heading=h.i13swnbma50g" w:colFirst="0" w:colLast="0"/>
      <w:bookmarkEnd w:id="32"/>
      <w:r>
        <w:rPr>
          <w:b/>
          <w:bCs/>
          <w:color w:val="000000"/>
          <w:sz w:val="24"/>
          <w:szCs w:val="24"/>
        </w:rPr>
        <w:t xml:space="preserve">Gráfica </w:t>
      </w:r>
      <w:proofErr w:type="gramStart"/>
      <w:r>
        <w:rPr>
          <w:b/>
          <w:bCs/>
          <w:color w:val="000000"/>
          <w:sz w:val="24"/>
          <w:szCs w:val="24"/>
        </w:rPr>
        <w:t>No.  5</w:t>
      </w:r>
      <w:proofErr w:type="gramEnd"/>
      <w:r>
        <w:rPr>
          <w:b/>
          <w:bCs/>
          <w:color w:val="000000"/>
          <w:sz w:val="24"/>
          <w:szCs w:val="24"/>
        </w:rPr>
        <w:t>. Documentos iniciales</w:t>
      </w:r>
    </w:p>
    <w:p w14:paraId="74C1D210" w14:textId="77777777" w:rsidR="00CF2C82" w:rsidRDefault="00CF2C82">
      <w:pPr>
        <w:rPr>
          <w:b/>
          <w:bCs/>
        </w:rPr>
      </w:pPr>
    </w:p>
    <w:p w14:paraId="74C1D211" w14:textId="77777777" w:rsidR="00CF2C82" w:rsidRDefault="009F54A0">
      <w:bookmarkStart w:id="33" w:name="_heading=h.5gc6kbv1myw8" w:colFirst="0" w:colLast="0"/>
      <w:bookmarkEnd w:id="33"/>
      <w:r>
        <w:t xml:space="preserve">              </w:t>
      </w:r>
      <w:r>
        <w:rPr>
          <w:noProof/>
        </w:rPr>
        <w:drawing>
          <wp:inline distT="114300" distB="114300" distL="114300" distR="114300" wp14:anchorId="74C1D30A" wp14:editId="74C1D30B">
            <wp:extent cx="4762500" cy="1888102"/>
            <wp:effectExtent l="0" t="0" r="0" b="0"/>
            <wp:docPr id="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
                    <a:srcRect t="27801"/>
                    <a:stretch>
                      <a:fillRect/>
                    </a:stretch>
                  </pic:blipFill>
                  <pic:spPr>
                    <a:xfrm>
                      <a:off x="0" y="0"/>
                      <a:ext cx="4762500" cy="1888102"/>
                    </a:xfrm>
                    <a:prstGeom prst="rect">
                      <a:avLst/>
                    </a:prstGeom>
                    <a:ln/>
                  </pic:spPr>
                </pic:pic>
              </a:graphicData>
            </a:graphic>
          </wp:inline>
        </w:drawing>
      </w:r>
    </w:p>
    <w:p w14:paraId="74C1D212" w14:textId="77777777" w:rsidR="00CF2C82" w:rsidRDefault="009F54A0">
      <w:pPr>
        <w:shd w:val="clear" w:color="auto" w:fill="FFFFFF"/>
        <w:spacing w:before="240" w:after="240"/>
        <w:jc w:val="center"/>
        <w:rPr>
          <w:sz w:val="20"/>
          <w:szCs w:val="20"/>
        </w:rPr>
      </w:pPr>
      <w:r>
        <w:rPr>
          <w:sz w:val="20"/>
          <w:szCs w:val="20"/>
        </w:rPr>
        <w:t>Fuente: elaboración propia</w:t>
      </w:r>
    </w:p>
    <w:tbl>
      <w:tblPr>
        <w:tblStyle w:val="a2"/>
        <w:tblW w:w="898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85"/>
      </w:tblGrid>
      <w:tr w:rsidR="00CF2C82" w14:paraId="74C1D214" w14:textId="77777777">
        <w:tc>
          <w:tcPr>
            <w:tcW w:w="8985" w:type="dxa"/>
            <w:tcMar>
              <w:top w:w="100" w:type="dxa"/>
              <w:left w:w="100" w:type="dxa"/>
              <w:bottom w:w="100" w:type="dxa"/>
              <w:right w:w="100" w:type="dxa"/>
            </w:tcMar>
          </w:tcPr>
          <w:p w14:paraId="74C1D213" w14:textId="77777777" w:rsidR="00CF2C82" w:rsidRDefault="009F54A0">
            <w:pPr>
              <w:widowControl w:val="0"/>
              <w:pBdr>
                <w:top w:val="nil"/>
                <w:left w:val="nil"/>
                <w:bottom w:val="nil"/>
                <w:right w:val="nil"/>
                <w:between w:val="nil"/>
              </w:pBdr>
              <w:jc w:val="both"/>
              <w:rPr>
                <w:sz w:val="24"/>
                <w:szCs w:val="24"/>
              </w:rPr>
            </w:pPr>
            <w:r>
              <w:rPr>
                <w:sz w:val="24"/>
                <w:szCs w:val="24"/>
                <w:highlight w:val="white"/>
              </w:rPr>
              <w:t>Con la radicación del formulario se entenderá que el hogar declara bajo la gravedad de juramento que la información en él contenida y los documentos de soporte corresponden a la verdad. La entidad cedente podrá en cualquier momento del trámite verificar la información suministrada.</w:t>
            </w:r>
          </w:p>
        </w:tc>
      </w:tr>
    </w:tbl>
    <w:p w14:paraId="74C1D215" w14:textId="77777777" w:rsidR="00CF2C82" w:rsidRDefault="00CF2C82">
      <w:pPr>
        <w:shd w:val="clear" w:color="auto" w:fill="FFFFFF"/>
        <w:spacing w:after="240"/>
        <w:ind w:left="720"/>
        <w:jc w:val="both"/>
        <w:rPr>
          <w:sz w:val="24"/>
          <w:szCs w:val="24"/>
        </w:rPr>
      </w:pPr>
    </w:p>
    <w:p w14:paraId="74C1D216" w14:textId="77777777" w:rsidR="00CF2C82" w:rsidRDefault="009F54A0">
      <w:pPr>
        <w:pStyle w:val="Ttulo2"/>
        <w:rPr>
          <w:b/>
          <w:bCs/>
          <w:sz w:val="24"/>
          <w:szCs w:val="24"/>
        </w:rPr>
      </w:pPr>
      <w:bookmarkStart w:id="34" w:name="_Toc228956545"/>
      <w:r>
        <w:rPr>
          <w:b/>
          <w:bCs/>
          <w:sz w:val="24"/>
          <w:szCs w:val="24"/>
        </w:rPr>
        <w:t>2.4 Paso 4. Verificación y validación de requisitos</w:t>
      </w:r>
      <w:bookmarkEnd w:id="34"/>
      <w:r>
        <w:rPr>
          <w:b/>
          <w:bCs/>
          <w:sz w:val="24"/>
          <w:szCs w:val="24"/>
        </w:rPr>
        <w:t xml:space="preserve"> </w:t>
      </w:r>
    </w:p>
    <w:p w14:paraId="74C1D217" w14:textId="77777777" w:rsidR="00CF2C82" w:rsidRDefault="009F54A0">
      <w:pPr>
        <w:jc w:val="both"/>
        <w:rPr>
          <w:sz w:val="24"/>
          <w:szCs w:val="24"/>
        </w:rPr>
        <w:sectPr w:rsidR="00CF2C82">
          <w:headerReference w:type="even" r:id="rId16"/>
          <w:headerReference w:type="default" r:id="rId17"/>
          <w:footerReference w:type="even" r:id="rId18"/>
          <w:footerReference w:type="default" r:id="rId19"/>
          <w:headerReference w:type="first" r:id="rId20"/>
          <w:footerReference w:type="first" r:id="rId21"/>
          <w:pgSz w:w="11909" w:h="16834"/>
          <w:pgMar w:top="1440" w:right="1440" w:bottom="1440" w:left="1417" w:header="720" w:footer="720" w:gutter="0"/>
          <w:pgNumType w:start="1"/>
          <w:cols w:space="720"/>
        </w:sectPr>
      </w:pPr>
      <w:bookmarkStart w:id="36" w:name="_heading=h.olg968fqi0ff" w:colFirst="0" w:colLast="0"/>
      <w:bookmarkEnd w:id="36"/>
      <w:r>
        <w:rPr>
          <w:sz w:val="24"/>
          <w:szCs w:val="24"/>
        </w:rPr>
        <w:t>Los municipios a través de sus equipos técnicos deben verificar que los inmuebles y los hogares interesados cumplan con los requisitos establecidos en el artículo 277 de la Ley 1955 de 2019 y en el artículo 2.1.2.2.2.5 del Decreto 1077 de 2015, modificado parcialmente por el Decreto 523 de 2021. Estas normas señalan que el proceso únicamente procede cuando el hogar reúne las siguientes condiciones:</w:t>
      </w:r>
    </w:p>
    <w:p w14:paraId="74C1D219" w14:textId="77777777" w:rsidR="00CF2C82" w:rsidRDefault="009F54A0">
      <w:pPr>
        <w:pBdr>
          <w:top w:val="nil"/>
          <w:left w:val="nil"/>
          <w:bottom w:val="nil"/>
          <w:right w:val="nil"/>
          <w:between w:val="nil"/>
        </w:pBdr>
        <w:spacing w:after="200" w:line="240" w:lineRule="auto"/>
        <w:jc w:val="center"/>
        <w:rPr>
          <w:b/>
          <w:bCs/>
          <w:color w:val="000000"/>
          <w:sz w:val="24"/>
          <w:szCs w:val="24"/>
          <w:highlight w:val="white"/>
        </w:rPr>
      </w:pPr>
      <w:bookmarkStart w:id="37" w:name="_heading=h.k1u6j66ky21t" w:colFirst="0" w:colLast="0"/>
      <w:bookmarkEnd w:id="37"/>
      <w:r>
        <w:rPr>
          <w:b/>
          <w:bCs/>
          <w:color w:val="000000"/>
          <w:sz w:val="24"/>
          <w:szCs w:val="24"/>
        </w:rPr>
        <w:lastRenderedPageBreak/>
        <w:t xml:space="preserve">Gráfica </w:t>
      </w:r>
      <w:proofErr w:type="gramStart"/>
      <w:r>
        <w:rPr>
          <w:b/>
          <w:bCs/>
          <w:color w:val="000000"/>
          <w:sz w:val="24"/>
          <w:szCs w:val="24"/>
        </w:rPr>
        <w:t>No.  6</w:t>
      </w:r>
      <w:proofErr w:type="gramEnd"/>
      <w:r>
        <w:rPr>
          <w:b/>
          <w:bCs/>
          <w:color w:val="000000"/>
          <w:sz w:val="24"/>
          <w:szCs w:val="24"/>
        </w:rPr>
        <w:t>. Verificación y validación de requisitos</w:t>
      </w:r>
    </w:p>
    <w:p w14:paraId="74C1D21A" w14:textId="77777777" w:rsidR="00CF2C82" w:rsidRDefault="009F54A0">
      <w:pPr>
        <w:shd w:val="clear" w:color="auto" w:fill="FFFFFF"/>
        <w:spacing w:before="240" w:after="240"/>
        <w:jc w:val="both"/>
        <w:rPr>
          <w:sz w:val="24"/>
          <w:szCs w:val="24"/>
        </w:rPr>
        <w:sectPr w:rsidR="00CF2C82">
          <w:pgSz w:w="16834" w:h="11909" w:orient="landscape"/>
          <w:pgMar w:top="1440" w:right="1440" w:bottom="1440" w:left="1417" w:header="720" w:footer="720" w:gutter="0"/>
          <w:cols w:space="720"/>
        </w:sectPr>
      </w:pPr>
      <w:r>
        <w:rPr>
          <w:sz w:val="24"/>
          <w:szCs w:val="24"/>
        </w:rPr>
        <w:t xml:space="preserve">      </w:t>
      </w:r>
      <w:r>
        <w:rPr>
          <w:b/>
          <w:bCs/>
          <w:noProof/>
          <w:sz w:val="24"/>
          <w:szCs w:val="24"/>
          <w:highlight w:val="white"/>
        </w:rPr>
        <w:drawing>
          <wp:inline distT="114300" distB="114300" distL="114300" distR="114300" wp14:anchorId="74C1D30C" wp14:editId="74C1D30D">
            <wp:extent cx="8469591" cy="4288987"/>
            <wp:effectExtent l="0" t="0" r="0" b="0"/>
            <wp:docPr id="1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2"/>
                    <a:srcRect/>
                    <a:stretch>
                      <a:fillRect/>
                    </a:stretch>
                  </pic:blipFill>
                  <pic:spPr>
                    <a:xfrm>
                      <a:off x="0" y="0"/>
                      <a:ext cx="8469591" cy="4288987"/>
                    </a:xfrm>
                    <a:prstGeom prst="rect">
                      <a:avLst/>
                    </a:prstGeom>
                    <a:ln/>
                  </pic:spPr>
                </pic:pic>
              </a:graphicData>
            </a:graphic>
          </wp:inline>
        </w:drawing>
      </w:r>
    </w:p>
    <w:p w14:paraId="74C1D21C" w14:textId="77777777" w:rsidR="00CF2C82" w:rsidRDefault="009F54A0">
      <w:pPr>
        <w:pStyle w:val="Ttulo2"/>
        <w:rPr>
          <w:b/>
          <w:bCs/>
          <w:sz w:val="24"/>
          <w:szCs w:val="24"/>
        </w:rPr>
      </w:pPr>
      <w:bookmarkStart w:id="38" w:name="_Toc228956546"/>
      <w:r>
        <w:rPr>
          <w:b/>
          <w:bCs/>
          <w:sz w:val="24"/>
          <w:szCs w:val="24"/>
        </w:rPr>
        <w:lastRenderedPageBreak/>
        <w:t>2.5 Paso 5. Expedición de resolución de inicio de la actuación</w:t>
      </w:r>
      <w:bookmarkEnd w:id="38"/>
    </w:p>
    <w:p w14:paraId="74C1D21D" w14:textId="77777777" w:rsidR="00CF2C82" w:rsidRDefault="009F54A0">
      <w:pPr>
        <w:jc w:val="both"/>
        <w:rPr>
          <w:sz w:val="24"/>
          <w:szCs w:val="24"/>
        </w:rPr>
      </w:pPr>
      <w:r>
        <w:rPr>
          <w:sz w:val="24"/>
          <w:szCs w:val="24"/>
        </w:rPr>
        <w:t>Una vez los municipios cedentes hayan adelantado el proceso de cruce y validación de la información descrita en el anterior punto, contará con un término no superior a treinta (30) días hábiles para iniciar los trámites de comunicación a fin de darle publicidad a la actuación y de ser el caso, tramitar la oposición de terceros con el objeto de que hagan valer sus derechos.</w:t>
      </w:r>
    </w:p>
    <w:p w14:paraId="74C1D21E" w14:textId="77777777" w:rsidR="00CF2C82" w:rsidRDefault="00CF2C82">
      <w:pPr>
        <w:spacing w:before="240"/>
        <w:jc w:val="both"/>
        <w:rPr>
          <w:sz w:val="24"/>
          <w:szCs w:val="24"/>
        </w:rPr>
      </w:pPr>
    </w:p>
    <w:p w14:paraId="74C1D21F" w14:textId="77777777" w:rsidR="00CF2C82" w:rsidRDefault="009F54A0">
      <w:pPr>
        <w:pBdr>
          <w:top w:val="nil"/>
          <w:left w:val="nil"/>
          <w:bottom w:val="nil"/>
          <w:right w:val="nil"/>
          <w:between w:val="nil"/>
        </w:pBdr>
        <w:spacing w:after="200" w:line="240" w:lineRule="auto"/>
        <w:jc w:val="center"/>
        <w:rPr>
          <w:b/>
          <w:bCs/>
          <w:color w:val="000000"/>
          <w:sz w:val="24"/>
          <w:szCs w:val="24"/>
        </w:rPr>
      </w:pPr>
      <w:bookmarkStart w:id="39" w:name="_heading=h.mebjrjkhwd4w" w:colFirst="0" w:colLast="0"/>
      <w:bookmarkEnd w:id="39"/>
      <w:r>
        <w:rPr>
          <w:b/>
          <w:bCs/>
          <w:color w:val="000000"/>
          <w:sz w:val="24"/>
          <w:szCs w:val="24"/>
        </w:rPr>
        <w:t xml:space="preserve">Gráfica </w:t>
      </w:r>
      <w:proofErr w:type="gramStart"/>
      <w:r>
        <w:rPr>
          <w:b/>
          <w:bCs/>
          <w:color w:val="000000"/>
          <w:sz w:val="24"/>
          <w:szCs w:val="24"/>
        </w:rPr>
        <w:t>No.  7</w:t>
      </w:r>
      <w:proofErr w:type="gramEnd"/>
      <w:r>
        <w:rPr>
          <w:b/>
          <w:bCs/>
          <w:color w:val="000000"/>
          <w:sz w:val="24"/>
          <w:szCs w:val="24"/>
        </w:rPr>
        <w:t>. Término y expedición de la resolución</w:t>
      </w:r>
    </w:p>
    <w:p w14:paraId="74C1D220" w14:textId="77777777" w:rsidR="00CF2C82" w:rsidRDefault="009F54A0">
      <w:pPr>
        <w:spacing w:before="240"/>
        <w:jc w:val="center"/>
        <w:rPr>
          <w:sz w:val="24"/>
          <w:szCs w:val="24"/>
        </w:rPr>
      </w:pPr>
      <w:r>
        <w:rPr>
          <w:noProof/>
          <w:sz w:val="24"/>
          <w:szCs w:val="24"/>
        </w:rPr>
        <w:drawing>
          <wp:inline distT="114300" distB="114300" distL="114300" distR="114300" wp14:anchorId="74C1D30E" wp14:editId="74C1D30F">
            <wp:extent cx="4229852" cy="1928813"/>
            <wp:effectExtent l="0" t="0" r="0" b="0"/>
            <wp:docPr id="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3"/>
                    <a:srcRect/>
                    <a:stretch>
                      <a:fillRect/>
                    </a:stretch>
                  </pic:blipFill>
                  <pic:spPr>
                    <a:xfrm>
                      <a:off x="0" y="0"/>
                      <a:ext cx="4229852" cy="1928813"/>
                    </a:xfrm>
                    <a:prstGeom prst="rect">
                      <a:avLst/>
                    </a:prstGeom>
                    <a:ln/>
                  </pic:spPr>
                </pic:pic>
              </a:graphicData>
            </a:graphic>
          </wp:inline>
        </w:drawing>
      </w:r>
    </w:p>
    <w:p w14:paraId="74C1D221" w14:textId="77777777" w:rsidR="00CF2C82" w:rsidRDefault="009F54A0">
      <w:pPr>
        <w:spacing w:before="240" w:after="240"/>
        <w:jc w:val="center"/>
        <w:rPr>
          <w:b/>
          <w:bCs/>
          <w:sz w:val="24"/>
          <w:szCs w:val="24"/>
        </w:rPr>
      </w:pPr>
      <w:r>
        <w:rPr>
          <w:sz w:val="24"/>
          <w:szCs w:val="24"/>
        </w:rPr>
        <w:t>Fuente: elaboración propia</w:t>
      </w:r>
    </w:p>
    <w:p w14:paraId="74C1D222" w14:textId="77777777" w:rsidR="00CF2C82" w:rsidRDefault="009F54A0">
      <w:pPr>
        <w:pStyle w:val="Ttulo3"/>
        <w:numPr>
          <w:ilvl w:val="0"/>
          <w:numId w:val="7"/>
        </w:numPr>
        <w:rPr>
          <w:b/>
          <w:bCs/>
          <w:color w:val="000000"/>
          <w:sz w:val="24"/>
          <w:szCs w:val="24"/>
        </w:rPr>
      </w:pPr>
      <w:bookmarkStart w:id="40" w:name="_Toc228956547"/>
      <w:r>
        <w:rPr>
          <w:b/>
          <w:bCs/>
          <w:color w:val="000000"/>
          <w:sz w:val="24"/>
          <w:szCs w:val="24"/>
        </w:rPr>
        <w:t>Contenido de la resolución</w:t>
      </w:r>
      <w:bookmarkEnd w:id="40"/>
    </w:p>
    <w:p w14:paraId="74C1D223" w14:textId="77777777" w:rsidR="00CF2C82" w:rsidRDefault="009F54A0">
      <w:pPr>
        <w:spacing w:before="240"/>
        <w:jc w:val="both"/>
        <w:rPr>
          <w:sz w:val="24"/>
          <w:szCs w:val="24"/>
        </w:rPr>
      </w:pPr>
      <w:r>
        <w:rPr>
          <w:sz w:val="24"/>
          <w:szCs w:val="24"/>
        </w:rPr>
        <w:t xml:space="preserve">Los municipios deberán comunicar la actuación administrativa mediante una resolución que deberá como mínimo contener: </w:t>
      </w:r>
    </w:p>
    <w:p w14:paraId="74C1D224" w14:textId="77777777" w:rsidR="00CF2C82" w:rsidRDefault="009F54A0">
      <w:pPr>
        <w:numPr>
          <w:ilvl w:val="0"/>
          <w:numId w:val="3"/>
        </w:numPr>
        <w:spacing w:before="240"/>
        <w:jc w:val="both"/>
        <w:rPr>
          <w:sz w:val="24"/>
          <w:szCs w:val="24"/>
        </w:rPr>
      </w:pPr>
      <w:r>
        <w:rPr>
          <w:sz w:val="24"/>
          <w:szCs w:val="24"/>
        </w:rPr>
        <w:t>El fundamento legal de la actuación administrativa.</w:t>
      </w:r>
    </w:p>
    <w:p w14:paraId="74C1D225" w14:textId="77777777" w:rsidR="00CF2C82" w:rsidRDefault="009F54A0">
      <w:pPr>
        <w:numPr>
          <w:ilvl w:val="0"/>
          <w:numId w:val="3"/>
        </w:numPr>
        <w:jc w:val="both"/>
        <w:rPr>
          <w:sz w:val="24"/>
          <w:szCs w:val="24"/>
        </w:rPr>
      </w:pPr>
      <w:r>
        <w:rPr>
          <w:sz w:val="24"/>
          <w:szCs w:val="24"/>
        </w:rPr>
        <w:t>La identificación técnico-jurídica del inmueble objeto de cesión a título gratuito o terminación de la actuación administrativa.</w:t>
      </w:r>
    </w:p>
    <w:p w14:paraId="74C1D226" w14:textId="77777777" w:rsidR="00CF2C82" w:rsidRDefault="009F54A0">
      <w:pPr>
        <w:numPr>
          <w:ilvl w:val="0"/>
          <w:numId w:val="3"/>
        </w:numPr>
        <w:jc w:val="both"/>
        <w:rPr>
          <w:sz w:val="24"/>
          <w:szCs w:val="24"/>
        </w:rPr>
      </w:pPr>
      <w:r>
        <w:rPr>
          <w:sz w:val="24"/>
          <w:szCs w:val="24"/>
        </w:rPr>
        <w:t>La relación del miembro del hogar ocupante con nombres, apellidos y documento de identificación que quedará registrado en el acto administrativo de cesión o de terminación.</w:t>
      </w:r>
    </w:p>
    <w:p w14:paraId="74C1D227" w14:textId="77777777" w:rsidR="00CF2C82" w:rsidRDefault="009F54A0">
      <w:pPr>
        <w:numPr>
          <w:ilvl w:val="0"/>
          <w:numId w:val="3"/>
        </w:numPr>
        <w:jc w:val="both"/>
        <w:rPr>
          <w:sz w:val="24"/>
          <w:szCs w:val="24"/>
        </w:rPr>
      </w:pPr>
      <w:r>
        <w:rPr>
          <w:sz w:val="24"/>
          <w:szCs w:val="24"/>
        </w:rPr>
        <w:t>El término para hacerse parte dentro de la actuación administrativa.</w:t>
      </w:r>
    </w:p>
    <w:p w14:paraId="74C1D228" w14:textId="77777777" w:rsidR="00CF2C82" w:rsidRDefault="00CF2C82">
      <w:pPr>
        <w:ind w:left="1440"/>
        <w:jc w:val="both"/>
        <w:rPr>
          <w:sz w:val="24"/>
          <w:szCs w:val="24"/>
        </w:rPr>
      </w:pPr>
    </w:p>
    <w:p w14:paraId="74C1D229" w14:textId="77777777" w:rsidR="00CF2C82" w:rsidRDefault="00CF2C82">
      <w:pPr>
        <w:ind w:left="720"/>
        <w:jc w:val="both"/>
        <w:rPr>
          <w:sz w:val="24"/>
          <w:szCs w:val="24"/>
        </w:rPr>
      </w:pPr>
    </w:p>
    <w:p w14:paraId="74C1D22A" w14:textId="77777777" w:rsidR="00CF2C82" w:rsidRDefault="009F54A0">
      <w:pPr>
        <w:pStyle w:val="Ttulo3"/>
        <w:numPr>
          <w:ilvl w:val="0"/>
          <w:numId w:val="7"/>
        </w:numPr>
        <w:rPr>
          <w:b/>
          <w:bCs/>
          <w:color w:val="000000"/>
          <w:sz w:val="24"/>
          <w:szCs w:val="24"/>
        </w:rPr>
      </w:pPr>
      <w:bookmarkStart w:id="41" w:name="_Toc228956548"/>
      <w:r>
        <w:rPr>
          <w:b/>
          <w:bCs/>
          <w:color w:val="000000"/>
          <w:sz w:val="24"/>
          <w:szCs w:val="24"/>
        </w:rPr>
        <w:lastRenderedPageBreak/>
        <w:t>Publicidad de la resolución</w:t>
      </w:r>
      <w:bookmarkEnd w:id="41"/>
    </w:p>
    <w:p w14:paraId="74C1D22B" w14:textId="77777777" w:rsidR="00CF2C82" w:rsidRDefault="009F54A0">
      <w:pPr>
        <w:spacing w:before="240" w:after="240"/>
        <w:jc w:val="both"/>
        <w:rPr>
          <w:sz w:val="24"/>
          <w:szCs w:val="24"/>
          <w:highlight w:val="white"/>
        </w:rPr>
      </w:pPr>
      <w:r>
        <w:rPr>
          <w:sz w:val="24"/>
          <w:szCs w:val="24"/>
          <w:highlight w:val="white"/>
        </w:rPr>
        <w:t>De conformidad con lo dispuesto en el artículo 37 de la Ley 1437 de 2011 y el artículo 2.1.2.2.2.8 del Decreto 523 de 2021, los municipios cedentes deberán garantizar la publicidad de la actuación administrativa relacionada con el trámite de cesión a título gratuito, cuando esta pueda afectar derechos o intereses de terceros.</w:t>
      </w:r>
    </w:p>
    <w:p w14:paraId="74C1D22C" w14:textId="77777777" w:rsidR="00CF2C82" w:rsidRDefault="009F54A0">
      <w:pPr>
        <w:numPr>
          <w:ilvl w:val="0"/>
          <w:numId w:val="1"/>
        </w:numPr>
        <w:spacing w:before="240"/>
        <w:jc w:val="both"/>
        <w:rPr>
          <w:sz w:val="24"/>
          <w:szCs w:val="24"/>
          <w:highlight w:val="white"/>
        </w:rPr>
      </w:pPr>
      <w:r>
        <w:rPr>
          <w:sz w:val="24"/>
          <w:szCs w:val="24"/>
          <w:highlight w:val="white"/>
        </w:rPr>
        <w:t>Si los terceros son determinados o identificables, la entidad deberá comunicarles directamente la existencia y el objeto de la actuación, enviando la información a la dirección física o correo electrónico que repose en el expediente.</w:t>
      </w:r>
    </w:p>
    <w:p w14:paraId="74C1D22D" w14:textId="77777777" w:rsidR="00CF2C82" w:rsidRDefault="009F54A0">
      <w:pPr>
        <w:numPr>
          <w:ilvl w:val="0"/>
          <w:numId w:val="1"/>
        </w:numPr>
        <w:spacing w:after="240"/>
        <w:jc w:val="both"/>
        <w:rPr>
          <w:sz w:val="24"/>
          <w:szCs w:val="24"/>
          <w:highlight w:val="white"/>
        </w:rPr>
      </w:pPr>
      <w:r>
        <w:rPr>
          <w:sz w:val="24"/>
          <w:szCs w:val="24"/>
          <w:highlight w:val="white"/>
        </w:rPr>
        <w:t>Si se trata de personas indeterminadas, la actuación deberá ser divulgada mediante un medio masivo de comunicación, ya sea de cobertura nacional o local, o a través de cualquier otro mecanismo eficaz que garantice su adecuada publicidad.</w:t>
      </w:r>
    </w:p>
    <w:p w14:paraId="74C1D22E" w14:textId="77777777" w:rsidR="00CF2C82" w:rsidRDefault="009F54A0">
      <w:pPr>
        <w:spacing w:before="240"/>
        <w:jc w:val="both"/>
        <w:rPr>
          <w:sz w:val="24"/>
          <w:szCs w:val="24"/>
          <w:highlight w:val="white"/>
        </w:rPr>
      </w:pPr>
      <w:r>
        <w:rPr>
          <w:sz w:val="24"/>
          <w:szCs w:val="24"/>
          <w:highlight w:val="white"/>
        </w:rPr>
        <w:t>En ambos casos la comunicación deberá fijarse en las oficinas de la entidad cedente en lugar visible al público, y en su página web; por un término no inferior a cinco (5) días hábiles.</w:t>
      </w:r>
    </w:p>
    <w:p w14:paraId="74C1D22F" w14:textId="77777777" w:rsidR="00CF2C82" w:rsidRDefault="009F54A0">
      <w:pPr>
        <w:pStyle w:val="Ttulo3"/>
        <w:numPr>
          <w:ilvl w:val="0"/>
          <w:numId w:val="8"/>
        </w:numPr>
        <w:rPr>
          <w:b/>
          <w:bCs/>
          <w:color w:val="000000"/>
          <w:sz w:val="24"/>
          <w:szCs w:val="24"/>
        </w:rPr>
      </w:pPr>
      <w:bookmarkStart w:id="42" w:name="_Toc228956549"/>
      <w:r>
        <w:rPr>
          <w:b/>
          <w:bCs/>
          <w:color w:val="000000"/>
          <w:sz w:val="24"/>
          <w:szCs w:val="24"/>
        </w:rPr>
        <w:t>Trámite de oposición de terceros</w:t>
      </w:r>
      <w:bookmarkEnd w:id="42"/>
    </w:p>
    <w:p w14:paraId="74C1D230" w14:textId="77777777" w:rsidR="00CF2C82" w:rsidRDefault="009F54A0">
      <w:pPr>
        <w:spacing w:before="240"/>
        <w:jc w:val="both"/>
        <w:rPr>
          <w:sz w:val="24"/>
          <w:szCs w:val="24"/>
        </w:rPr>
      </w:pPr>
      <w:r>
        <w:rPr>
          <w:sz w:val="24"/>
          <w:szCs w:val="24"/>
        </w:rPr>
        <w:t xml:space="preserve">Los municipios como responsables del trámite de cesión gratuita de bienes </w:t>
      </w:r>
      <w:proofErr w:type="gramStart"/>
      <w:r>
        <w:rPr>
          <w:sz w:val="24"/>
          <w:szCs w:val="24"/>
        </w:rPr>
        <w:t>fiscales,</w:t>
      </w:r>
      <w:proofErr w:type="gramEnd"/>
      <w:r>
        <w:rPr>
          <w:sz w:val="24"/>
          <w:szCs w:val="24"/>
        </w:rPr>
        <w:t xml:space="preserve"> deben comunicar a terceros el inicio del proceso por el medio más efectivo disponible: correo, dirección conocida, medios locales o nacionales de comunicación, u otro mecanismo que garantice la difusión y, además, deben publicar la información en un lugar visible de sus instalaciones, así como en su página web por al menos cinco días hábiles. Una vez realizada esta comunicación en debida forma, las personas interesadas cuentan con cinco días hábiles para presentar y exponer sus razones, y los municipios tienen un plazo máximo de treinta días hábiles para dar respuesta a sus solicitudes.</w:t>
      </w:r>
      <w:r>
        <w:rPr>
          <w:sz w:val="24"/>
          <w:szCs w:val="24"/>
          <w:vertAlign w:val="superscript"/>
        </w:rPr>
        <w:footnoteReference w:id="2"/>
      </w:r>
    </w:p>
    <w:p w14:paraId="74C1D231" w14:textId="77777777" w:rsidR="00CF2C82" w:rsidRDefault="009F54A0">
      <w:pPr>
        <w:pStyle w:val="Ttulo2"/>
        <w:rPr>
          <w:b/>
          <w:bCs/>
          <w:sz w:val="24"/>
          <w:szCs w:val="24"/>
        </w:rPr>
      </w:pPr>
      <w:bookmarkStart w:id="43" w:name="_Toc228956550"/>
      <w:r>
        <w:rPr>
          <w:b/>
          <w:bCs/>
          <w:sz w:val="24"/>
          <w:szCs w:val="24"/>
        </w:rPr>
        <w:t>2.6 Paso 6:  Acto administrativo de cesión a título gratuito</w:t>
      </w:r>
      <w:bookmarkEnd w:id="43"/>
    </w:p>
    <w:p w14:paraId="74C1D232" w14:textId="77777777" w:rsidR="00CF2C82" w:rsidRDefault="00CF2C82">
      <w:pPr>
        <w:rPr>
          <w:b/>
          <w:bCs/>
          <w:sz w:val="24"/>
          <w:szCs w:val="24"/>
        </w:rPr>
      </w:pPr>
    </w:p>
    <w:p w14:paraId="74C1D233" w14:textId="77777777" w:rsidR="00CF2C82" w:rsidRDefault="009F54A0">
      <w:pPr>
        <w:jc w:val="both"/>
        <w:rPr>
          <w:sz w:val="24"/>
          <w:szCs w:val="24"/>
        </w:rPr>
      </w:pPr>
      <w:r>
        <w:t xml:space="preserve">Una vez completadas las verificaciones jurídicas y técnicas del inmueble y resuelta, en su caso, la situación de terceros interesados, el municipio cedente deberá expedir el acto administrativo de cesión dentro de los treinta (30) días hábiles siguientes. Este </w:t>
      </w:r>
      <w:r>
        <w:rPr>
          <w:sz w:val="24"/>
          <w:szCs w:val="24"/>
        </w:rPr>
        <w:t xml:space="preserve">acto debe </w:t>
      </w:r>
      <w:r>
        <w:rPr>
          <w:sz w:val="24"/>
          <w:szCs w:val="24"/>
        </w:rPr>
        <w:lastRenderedPageBreak/>
        <w:t>elaborarse de acuerdo con lo establecido en el artículo 2.1.2.2.2.9 del Decreto 1077 de 2015, modificado parcialmente por el Decreto 523 de 2021, garantizando así la validez y formalidad del proceso de titulación.</w:t>
      </w:r>
    </w:p>
    <w:p w14:paraId="74C1D234" w14:textId="77777777" w:rsidR="00CF2C82" w:rsidRDefault="00CF2C82">
      <w:pPr>
        <w:jc w:val="both"/>
        <w:rPr>
          <w:sz w:val="24"/>
          <w:szCs w:val="24"/>
        </w:rPr>
      </w:pPr>
    </w:p>
    <w:p w14:paraId="74C1D235" w14:textId="77777777" w:rsidR="00CF2C82" w:rsidRDefault="009F54A0">
      <w:pPr>
        <w:jc w:val="both"/>
        <w:rPr>
          <w:sz w:val="24"/>
          <w:szCs w:val="24"/>
        </w:rPr>
      </w:pPr>
      <w:bookmarkStart w:id="44" w:name="_heading=h.2ql2fdxcse2a" w:colFirst="0" w:colLast="0"/>
      <w:bookmarkEnd w:id="44"/>
      <w:r>
        <w:rPr>
          <w:sz w:val="24"/>
          <w:szCs w:val="24"/>
        </w:rPr>
        <w:t>Para verificar el contenido del acto administrativo de cesión de bien fiscal a un particular remitirse al Anexo 2, donde se explica de manera detallada el procedimiento, notificación y registro ante la oficina de Instrumentos públicos.</w:t>
      </w:r>
    </w:p>
    <w:p w14:paraId="74C1D236" w14:textId="77777777" w:rsidR="00CF2C82" w:rsidRDefault="009F54A0">
      <w:pPr>
        <w:pStyle w:val="Ttulo2"/>
        <w:jc w:val="both"/>
        <w:rPr>
          <w:b/>
          <w:bCs/>
          <w:sz w:val="24"/>
          <w:szCs w:val="24"/>
        </w:rPr>
      </w:pPr>
      <w:bookmarkStart w:id="45" w:name="_Toc228956551"/>
      <w:r>
        <w:rPr>
          <w:b/>
          <w:bCs/>
          <w:sz w:val="24"/>
          <w:szCs w:val="24"/>
        </w:rPr>
        <w:t>2.7 Paso 7. Actualización del Inventario y Remisión al Gestor Catastral</w:t>
      </w:r>
      <w:bookmarkEnd w:id="45"/>
      <w:r>
        <w:rPr>
          <w:b/>
          <w:bCs/>
          <w:sz w:val="24"/>
          <w:szCs w:val="24"/>
        </w:rPr>
        <w:t xml:space="preserve"> </w:t>
      </w:r>
    </w:p>
    <w:p w14:paraId="74C1D237" w14:textId="77777777" w:rsidR="00CF2C82" w:rsidRDefault="009F54A0">
      <w:pPr>
        <w:shd w:val="clear" w:color="auto" w:fill="FFFFFF"/>
        <w:spacing w:before="240" w:after="240"/>
        <w:jc w:val="both"/>
        <w:rPr>
          <w:sz w:val="24"/>
          <w:szCs w:val="24"/>
        </w:rPr>
      </w:pPr>
      <w:r>
        <w:rPr>
          <w:sz w:val="24"/>
          <w:szCs w:val="24"/>
        </w:rPr>
        <w:t xml:space="preserve">La actualización del Inventario Inmobiliario </w:t>
      </w:r>
      <w:proofErr w:type="gramStart"/>
      <w:r>
        <w:rPr>
          <w:sz w:val="24"/>
          <w:szCs w:val="24"/>
        </w:rPr>
        <w:t>Municipal,</w:t>
      </w:r>
      <w:proofErr w:type="gramEnd"/>
      <w:r>
        <w:rPr>
          <w:sz w:val="24"/>
          <w:szCs w:val="24"/>
        </w:rPr>
        <w:t xml:space="preserve"> procede una vez se registra el acto administrativo de cesión a título gratuito de bien fiscal titulable a un particular. Este constituye un paso esencial para garantizar la trazabilidad jurídica, administrativa y técnica del proceso de formalización, incorporando la nueva condición del inmueble en la base de datos del Inventario Inmobiliario Municipal, asegurando que la información refleje fielmente su situación actual. La nueva información para incorporar en la base de datos será:</w:t>
      </w:r>
    </w:p>
    <w:p w14:paraId="74C1D238" w14:textId="77777777" w:rsidR="00CF2C82" w:rsidRDefault="009F54A0">
      <w:pPr>
        <w:pBdr>
          <w:top w:val="nil"/>
          <w:left w:val="nil"/>
          <w:bottom w:val="nil"/>
          <w:right w:val="nil"/>
          <w:between w:val="nil"/>
        </w:pBdr>
        <w:spacing w:after="200" w:line="240" w:lineRule="auto"/>
        <w:jc w:val="center"/>
        <w:rPr>
          <w:b/>
          <w:bCs/>
          <w:color w:val="000000"/>
          <w:sz w:val="24"/>
          <w:szCs w:val="24"/>
        </w:rPr>
      </w:pPr>
      <w:r>
        <w:rPr>
          <w:b/>
          <w:bCs/>
          <w:color w:val="000000"/>
          <w:sz w:val="24"/>
          <w:szCs w:val="24"/>
        </w:rPr>
        <w:t xml:space="preserve">Tabla </w:t>
      </w:r>
      <w:proofErr w:type="gramStart"/>
      <w:r>
        <w:rPr>
          <w:b/>
          <w:bCs/>
          <w:color w:val="000000"/>
          <w:sz w:val="24"/>
          <w:szCs w:val="24"/>
        </w:rPr>
        <w:t>1 .</w:t>
      </w:r>
      <w:proofErr w:type="gramEnd"/>
      <w:r>
        <w:rPr>
          <w:b/>
          <w:bCs/>
          <w:color w:val="000000"/>
          <w:sz w:val="24"/>
          <w:szCs w:val="24"/>
        </w:rPr>
        <w:t xml:space="preserve"> Atributos adicionales del Inventario Inmobiliario Municipal</w:t>
      </w:r>
    </w:p>
    <w:tbl>
      <w:tblPr>
        <w:tblStyle w:val="a3"/>
        <w:tblW w:w="9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6360"/>
      </w:tblGrid>
      <w:tr w:rsidR="00CF2C82" w14:paraId="74C1D23C" w14:textId="77777777">
        <w:tc>
          <w:tcPr>
            <w:tcW w:w="2805" w:type="dxa"/>
            <w:shd w:val="clear" w:color="auto" w:fill="B8CCE4"/>
            <w:tcMar>
              <w:top w:w="100" w:type="dxa"/>
              <w:left w:w="100" w:type="dxa"/>
              <w:bottom w:w="100" w:type="dxa"/>
              <w:right w:w="100" w:type="dxa"/>
            </w:tcMar>
          </w:tcPr>
          <w:p w14:paraId="74C1D23A" w14:textId="77777777" w:rsidR="00CF2C82" w:rsidRDefault="009F54A0">
            <w:pPr>
              <w:widowControl w:val="0"/>
              <w:jc w:val="center"/>
              <w:rPr>
                <w:b/>
                <w:bCs/>
                <w:sz w:val="24"/>
                <w:szCs w:val="24"/>
              </w:rPr>
            </w:pPr>
            <w:r>
              <w:rPr>
                <w:b/>
                <w:bCs/>
                <w:sz w:val="24"/>
                <w:szCs w:val="24"/>
              </w:rPr>
              <w:t>ATRIBUTO</w:t>
            </w:r>
          </w:p>
        </w:tc>
        <w:tc>
          <w:tcPr>
            <w:tcW w:w="6360" w:type="dxa"/>
            <w:shd w:val="clear" w:color="auto" w:fill="B8CCE4"/>
            <w:tcMar>
              <w:top w:w="100" w:type="dxa"/>
              <w:left w:w="100" w:type="dxa"/>
              <w:bottom w:w="100" w:type="dxa"/>
              <w:right w:w="100" w:type="dxa"/>
            </w:tcMar>
          </w:tcPr>
          <w:p w14:paraId="74C1D23B" w14:textId="77777777" w:rsidR="00CF2C82" w:rsidRDefault="009F54A0">
            <w:pPr>
              <w:widowControl w:val="0"/>
              <w:jc w:val="center"/>
              <w:rPr>
                <w:b/>
                <w:bCs/>
                <w:sz w:val="24"/>
                <w:szCs w:val="24"/>
              </w:rPr>
            </w:pPr>
            <w:r>
              <w:rPr>
                <w:b/>
                <w:bCs/>
                <w:sz w:val="24"/>
                <w:szCs w:val="24"/>
              </w:rPr>
              <w:t>DESCRIPCIÓN</w:t>
            </w:r>
          </w:p>
        </w:tc>
      </w:tr>
      <w:tr w:rsidR="00CF2C82" w14:paraId="74C1D23F" w14:textId="77777777" w:rsidTr="00DF3550">
        <w:trPr>
          <w:trHeight w:val="1626"/>
        </w:trPr>
        <w:tc>
          <w:tcPr>
            <w:tcW w:w="2805" w:type="dxa"/>
            <w:tcMar>
              <w:top w:w="100" w:type="dxa"/>
              <w:left w:w="100" w:type="dxa"/>
              <w:bottom w:w="100" w:type="dxa"/>
              <w:right w:w="100" w:type="dxa"/>
            </w:tcMar>
            <w:vAlign w:val="center"/>
          </w:tcPr>
          <w:p w14:paraId="74C1D23D" w14:textId="77777777" w:rsidR="00CF2C82" w:rsidRDefault="009F54A0">
            <w:pPr>
              <w:widowControl w:val="0"/>
              <w:jc w:val="center"/>
              <w:rPr>
                <w:sz w:val="24"/>
                <w:szCs w:val="24"/>
              </w:rPr>
            </w:pPr>
            <w:proofErr w:type="spellStart"/>
            <w:r>
              <w:rPr>
                <w:sz w:val="24"/>
                <w:szCs w:val="24"/>
              </w:rPr>
              <w:t>Ruta_Saneamiento</w:t>
            </w:r>
            <w:proofErr w:type="spellEnd"/>
            <w:r>
              <w:rPr>
                <w:sz w:val="24"/>
                <w:szCs w:val="24"/>
              </w:rPr>
              <w:t xml:space="preserve"> </w:t>
            </w:r>
          </w:p>
        </w:tc>
        <w:tc>
          <w:tcPr>
            <w:tcW w:w="6360" w:type="dxa"/>
            <w:tcMar>
              <w:top w:w="100" w:type="dxa"/>
              <w:left w:w="100" w:type="dxa"/>
              <w:bottom w:w="100" w:type="dxa"/>
              <w:right w:w="100" w:type="dxa"/>
            </w:tcMar>
          </w:tcPr>
          <w:p w14:paraId="74C1D23E" w14:textId="77777777" w:rsidR="00CF2C82" w:rsidRDefault="009F54A0">
            <w:pPr>
              <w:widowControl w:val="0"/>
              <w:jc w:val="center"/>
              <w:rPr>
                <w:sz w:val="24"/>
                <w:szCs w:val="24"/>
              </w:rPr>
            </w:pPr>
            <w:r>
              <w:rPr>
                <w:sz w:val="24"/>
                <w:szCs w:val="24"/>
              </w:rPr>
              <w:t>Corresponde a la ruta asignada para adelantar el proceso de formalización o legalización. Los valores definidos para el campo son:</w:t>
            </w:r>
            <w:r>
              <w:rPr>
                <w:sz w:val="24"/>
                <w:szCs w:val="24"/>
                <w:highlight w:val="yellow"/>
              </w:rPr>
              <w:t xml:space="preserve"> </w:t>
            </w:r>
            <w:proofErr w:type="spellStart"/>
            <w:r>
              <w:rPr>
                <w:sz w:val="24"/>
                <w:szCs w:val="24"/>
              </w:rPr>
              <w:t>Cesion_titulo_gratuito_bienes_fiscales_a_particulares</w:t>
            </w:r>
            <w:proofErr w:type="spellEnd"/>
            <w:r>
              <w:rPr>
                <w:sz w:val="24"/>
                <w:szCs w:val="24"/>
              </w:rPr>
              <w:t xml:space="preserve"> y </w:t>
            </w:r>
            <w:proofErr w:type="spellStart"/>
            <w:r>
              <w:rPr>
                <w:sz w:val="24"/>
                <w:szCs w:val="24"/>
              </w:rPr>
              <w:t>Enajenación_Directa</w:t>
            </w:r>
            <w:proofErr w:type="spellEnd"/>
          </w:p>
        </w:tc>
      </w:tr>
      <w:tr w:rsidR="00CF2C82" w14:paraId="74C1D242" w14:textId="77777777" w:rsidTr="00DF3550">
        <w:trPr>
          <w:trHeight w:val="2050"/>
        </w:trPr>
        <w:tc>
          <w:tcPr>
            <w:tcW w:w="2805" w:type="dxa"/>
            <w:tcMar>
              <w:top w:w="100" w:type="dxa"/>
              <w:left w:w="100" w:type="dxa"/>
              <w:bottom w:w="100" w:type="dxa"/>
              <w:right w:w="100" w:type="dxa"/>
            </w:tcMar>
            <w:vAlign w:val="center"/>
          </w:tcPr>
          <w:p w14:paraId="74C1D240" w14:textId="77777777" w:rsidR="00CF2C82" w:rsidRDefault="009F54A0">
            <w:pPr>
              <w:widowControl w:val="0"/>
              <w:jc w:val="center"/>
              <w:rPr>
                <w:sz w:val="24"/>
                <w:szCs w:val="24"/>
              </w:rPr>
            </w:pPr>
            <w:r>
              <w:rPr>
                <w:sz w:val="24"/>
                <w:szCs w:val="24"/>
              </w:rPr>
              <w:t xml:space="preserve"> </w:t>
            </w:r>
            <w:proofErr w:type="spellStart"/>
            <w:r>
              <w:rPr>
                <w:sz w:val="24"/>
                <w:szCs w:val="24"/>
              </w:rPr>
              <w:t>Estado_Proceso</w:t>
            </w:r>
            <w:proofErr w:type="spellEnd"/>
          </w:p>
        </w:tc>
        <w:tc>
          <w:tcPr>
            <w:tcW w:w="6360" w:type="dxa"/>
            <w:tcMar>
              <w:top w:w="100" w:type="dxa"/>
              <w:left w:w="100" w:type="dxa"/>
              <w:bottom w:w="100" w:type="dxa"/>
              <w:right w:w="100" w:type="dxa"/>
            </w:tcMar>
          </w:tcPr>
          <w:p w14:paraId="74C1D241" w14:textId="77777777" w:rsidR="00CF2C82" w:rsidRDefault="009F54A0">
            <w:pPr>
              <w:widowControl w:val="0"/>
              <w:jc w:val="center"/>
              <w:rPr>
                <w:sz w:val="24"/>
                <w:szCs w:val="24"/>
              </w:rPr>
            </w:pPr>
            <w:r>
              <w:rPr>
                <w:sz w:val="24"/>
                <w:szCs w:val="24"/>
              </w:rPr>
              <w:t xml:space="preserve">Corresponde al estado del proceso al interior de la ruta de saneamiento seleccionada. Los valores definidos para el campo son: Estudio técnico jurídico; </w:t>
            </w:r>
            <w:proofErr w:type="spellStart"/>
            <w:r>
              <w:rPr>
                <w:sz w:val="24"/>
                <w:szCs w:val="24"/>
              </w:rPr>
              <w:t>Emisión_acto_administrativo</w:t>
            </w:r>
            <w:proofErr w:type="spellEnd"/>
            <w:r>
              <w:rPr>
                <w:sz w:val="24"/>
                <w:szCs w:val="24"/>
              </w:rPr>
              <w:t xml:space="preserve">; </w:t>
            </w:r>
            <w:proofErr w:type="spellStart"/>
            <w:r>
              <w:rPr>
                <w:sz w:val="24"/>
                <w:szCs w:val="24"/>
              </w:rPr>
              <w:t>Acto_administrativo_en_firme</w:t>
            </w:r>
            <w:proofErr w:type="spellEnd"/>
            <w:r>
              <w:rPr>
                <w:sz w:val="24"/>
                <w:szCs w:val="24"/>
              </w:rPr>
              <w:t xml:space="preserve">; </w:t>
            </w:r>
            <w:proofErr w:type="spellStart"/>
            <w:r>
              <w:rPr>
                <w:sz w:val="24"/>
                <w:szCs w:val="24"/>
              </w:rPr>
              <w:t>Acto_administrativo_registrado</w:t>
            </w:r>
            <w:proofErr w:type="spellEnd"/>
            <w:r>
              <w:rPr>
                <w:sz w:val="24"/>
                <w:szCs w:val="24"/>
              </w:rPr>
              <w:t xml:space="preserve">; y </w:t>
            </w:r>
            <w:proofErr w:type="spellStart"/>
            <w:r>
              <w:rPr>
                <w:sz w:val="24"/>
                <w:szCs w:val="24"/>
              </w:rPr>
              <w:t>Acto_administrativo_remitido</w:t>
            </w:r>
            <w:proofErr w:type="spellEnd"/>
            <w:r>
              <w:rPr>
                <w:sz w:val="24"/>
                <w:szCs w:val="24"/>
              </w:rPr>
              <w:t xml:space="preserve"> </w:t>
            </w:r>
            <w:proofErr w:type="spellStart"/>
            <w:r>
              <w:rPr>
                <w:sz w:val="24"/>
                <w:szCs w:val="24"/>
              </w:rPr>
              <w:t>al_Gestor_Catastral</w:t>
            </w:r>
            <w:proofErr w:type="spellEnd"/>
            <w:r>
              <w:rPr>
                <w:sz w:val="24"/>
                <w:szCs w:val="24"/>
              </w:rPr>
              <w:t>.</w:t>
            </w:r>
          </w:p>
        </w:tc>
      </w:tr>
      <w:tr w:rsidR="00CF2C82" w14:paraId="74C1D245" w14:textId="77777777" w:rsidTr="00DF3550">
        <w:trPr>
          <w:trHeight w:val="610"/>
        </w:trPr>
        <w:tc>
          <w:tcPr>
            <w:tcW w:w="2805" w:type="dxa"/>
            <w:tcMar>
              <w:top w:w="100" w:type="dxa"/>
              <w:left w:w="100" w:type="dxa"/>
              <w:bottom w:w="100" w:type="dxa"/>
              <w:right w:w="100" w:type="dxa"/>
            </w:tcMar>
            <w:vAlign w:val="center"/>
          </w:tcPr>
          <w:p w14:paraId="74C1D243" w14:textId="77777777" w:rsidR="00CF2C82" w:rsidRDefault="009F54A0">
            <w:pPr>
              <w:widowControl w:val="0"/>
              <w:jc w:val="center"/>
              <w:rPr>
                <w:sz w:val="24"/>
                <w:szCs w:val="24"/>
              </w:rPr>
            </w:pPr>
            <w:r>
              <w:rPr>
                <w:sz w:val="24"/>
                <w:szCs w:val="24"/>
              </w:rPr>
              <w:t>Título</w:t>
            </w:r>
          </w:p>
        </w:tc>
        <w:tc>
          <w:tcPr>
            <w:tcW w:w="6360" w:type="dxa"/>
            <w:tcMar>
              <w:top w:w="100" w:type="dxa"/>
              <w:left w:w="100" w:type="dxa"/>
              <w:bottom w:w="100" w:type="dxa"/>
              <w:right w:w="100" w:type="dxa"/>
            </w:tcMar>
          </w:tcPr>
          <w:p w14:paraId="74C1D244" w14:textId="77777777" w:rsidR="00CF2C82" w:rsidRDefault="009F54A0">
            <w:pPr>
              <w:widowControl w:val="0"/>
              <w:jc w:val="center"/>
              <w:rPr>
                <w:sz w:val="24"/>
                <w:szCs w:val="24"/>
              </w:rPr>
            </w:pPr>
            <w:r>
              <w:rPr>
                <w:sz w:val="24"/>
                <w:szCs w:val="24"/>
              </w:rPr>
              <w:t xml:space="preserve">Corresponde al acto administrativo expedido por el municipio que soporta la ruta seleccionada. </w:t>
            </w:r>
          </w:p>
        </w:tc>
      </w:tr>
      <w:tr w:rsidR="00CF2C82" w14:paraId="74C1D248" w14:textId="77777777">
        <w:tc>
          <w:tcPr>
            <w:tcW w:w="2805" w:type="dxa"/>
            <w:tcMar>
              <w:top w:w="100" w:type="dxa"/>
              <w:left w:w="100" w:type="dxa"/>
              <w:bottom w:w="100" w:type="dxa"/>
              <w:right w:w="100" w:type="dxa"/>
            </w:tcMar>
            <w:vAlign w:val="center"/>
          </w:tcPr>
          <w:p w14:paraId="74C1D246" w14:textId="77777777" w:rsidR="00CF2C82" w:rsidRDefault="009F54A0">
            <w:pPr>
              <w:widowControl w:val="0"/>
              <w:jc w:val="center"/>
              <w:rPr>
                <w:sz w:val="24"/>
                <w:szCs w:val="24"/>
              </w:rPr>
            </w:pPr>
            <w:proofErr w:type="spellStart"/>
            <w:r>
              <w:rPr>
                <w:sz w:val="24"/>
                <w:szCs w:val="24"/>
              </w:rPr>
              <w:t>Fecha_Titulo</w:t>
            </w:r>
            <w:proofErr w:type="spellEnd"/>
          </w:p>
        </w:tc>
        <w:tc>
          <w:tcPr>
            <w:tcW w:w="6360" w:type="dxa"/>
            <w:tcMar>
              <w:top w:w="100" w:type="dxa"/>
              <w:left w:w="100" w:type="dxa"/>
              <w:bottom w:w="100" w:type="dxa"/>
              <w:right w:w="100" w:type="dxa"/>
            </w:tcMar>
          </w:tcPr>
          <w:p w14:paraId="74C1D247" w14:textId="77777777" w:rsidR="00CF2C82" w:rsidRDefault="009F54A0">
            <w:pPr>
              <w:widowControl w:val="0"/>
              <w:jc w:val="center"/>
              <w:rPr>
                <w:sz w:val="24"/>
                <w:szCs w:val="24"/>
              </w:rPr>
            </w:pPr>
            <w:r>
              <w:rPr>
                <w:sz w:val="24"/>
                <w:szCs w:val="24"/>
              </w:rPr>
              <w:t>Fecha de expedición del acto administrativo</w:t>
            </w:r>
          </w:p>
        </w:tc>
      </w:tr>
    </w:tbl>
    <w:p w14:paraId="74C1D249" w14:textId="77777777" w:rsidR="00CF2C82" w:rsidRDefault="009F54A0">
      <w:pPr>
        <w:jc w:val="center"/>
        <w:rPr>
          <w:sz w:val="20"/>
          <w:szCs w:val="20"/>
        </w:rPr>
      </w:pPr>
      <w:r>
        <w:rPr>
          <w:sz w:val="20"/>
          <w:szCs w:val="20"/>
        </w:rPr>
        <w:t>Fuente: Elaboración propia</w:t>
      </w:r>
    </w:p>
    <w:p w14:paraId="74C1D24A" w14:textId="77777777" w:rsidR="00CF2C82" w:rsidRDefault="00CF2C82">
      <w:pPr>
        <w:jc w:val="both"/>
        <w:rPr>
          <w:sz w:val="24"/>
          <w:szCs w:val="24"/>
        </w:rPr>
      </w:pPr>
      <w:bookmarkStart w:id="46" w:name="_heading=h.elmowxdgqi9s" w:colFirst="0" w:colLast="0"/>
      <w:bookmarkEnd w:id="46"/>
    </w:p>
    <w:p w14:paraId="74C1D24B" w14:textId="77777777" w:rsidR="00CF2C82" w:rsidRDefault="009F54A0">
      <w:pPr>
        <w:jc w:val="both"/>
        <w:rPr>
          <w:sz w:val="24"/>
          <w:szCs w:val="24"/>
        </w:rPr>
      </w:pPr>
      <w:r>
        <w:rPr>
          <w:sz w:val="24"/>
          <w:szCs w:val="24"/>
        </w:rPr>
        <w:t xml:space="preserve">Adicionalmente se debe garantizar la actualización de los demás atributos involucrados durante este procedimiento para garantizar que la información del inventario permanezca actualizada. La información más relevante para actualizar es: Nombre, Dirección, </w:t>
      </w:r>
      <w:proofErr w:type="spellStart"/>
      <w:r>
        <w:rPr>
          <w:sz w:val="24"/>
          <w:szCs w:val="24"/>
        </w:rPr>
        <w:t>Matricula_Inmobliaria</w:t>
      </w:r>
      <w:proofErr w:type="spellEnd"/>
      <w:r>
        <w:rPr>
          <w:sz w:val="24"/>
          <w:szCs w:val="24"/>
        </w:rPr>
        <w:t xml:space="preserve"> y </w:t>
      </w:r>
      <w:proofErr w:type="spellStart"/>
      <w:r>
        <w:rPr>
          <w:sz w:val="24"/>
          <w:szCs w:val="24"/>
        </w:rPr>
        <w:t>Tipo_Bien</w:t>
      </w:r>
      <w:proofErr w:type="spellEnd"/>
      <w:r>
        <w:rPr>
          <w:sz w:val="24"/>
          <w:szCs w:val="24"/>
        </w:rPr>
        <w:t xml:space="preserve">. </w:t>
      </w:r>
    </w:p>
    <w:p w14:paraId="74C1D24C" w14:textId="77777777" w:rsidR="00CF2C82" w:rsidRDefault="00CF2C82">
      <w:pPr>
        <w:jc w:val="both"/>
        <w:rPr>
          <w:b/>
          <w:bCs/>
          <w:sz w:val="24"/>
          <w:szCs w:val="24"/>
        </w:rPr>
      </w:pPr>
    </w:p>
    <w:p w14:paraId="74C1D24D" w14:textId="77777777" w:rsidR="00CF2C82" w:rsidRDefault="009F54A0">
      <w:pPr>
        <w:jc w:val="both"/>
        <w:rPr>
          <w:sz w:val="24"/>
          <w:szCs w:val="24"/>
          <w:highlight w:val="white"/>
        </w:rPr>
      </w:pPr>
      <w:bookmarkStart w:id="47" w:name="_heading=h.5kvfoypo2tfm" w:colFirst="0" w:colLast="0"/>
      <w:bookmarkEnd w:id="47"/>
      <w:r>
        <w:rPr>
          <w:sz w:val="24"/>
          <w:szCs w:val="24"/>
        </w:rPr>
        <w:t>Posteriormente, la información alfanumérica, gráfica y documental debe ser remitida al Gestor Catastral correspondiente, con el fin de que sirva como insumo para la actualización de la base de datos predial del municipio</w:t>
      </w:r>
      <w:r>
        <w:rPr>
          <w:sz w:val="24"/>
          <w:szCs w:val="24"/>
          <w:highlight w:val="white"/>
        </w:rPr>
        <w:t>. Este proceso contribuye a contar con información predial confiable, fortalece las finanzas municipales y permite una planeación territorial basada en datos precisos y actualizados.</w:t>
      </w:r>
    </w:p>
    <w:p w14:paraId="74C1D24E" w14:textId="77777777" w:rsidR="00CF2C82" w:rsidRDefault="009F54A0">
      <w:pPr>
        <w:shd w:val="clear" w:color="auto" w:fill="FFFFFF"/>
        <w:spacing w:before="240" w:after="240"/>
        <w:jc w:val="both"/>
        <w:rPr>
          <w:sz w:val="24"/>
          <w:szCs w:val="24"/>
        </w:rPr>
      </w:pPr>
      <w:r>
        <w:rPr>
          <w:sz w:val="24"/>
          <w:szCs w:val="24"/>
        </w:rPr>
        <w:t>Esta acción tradicionalmente se cumple a través de la remisión de la copia de los títulos registrados; sin embargo, a partir de la implementación de la Política Pública de Catastro Multipropósito, las entidades catastrales y la Superintendencia de Notariado y Registro han implementado servicios de interoperabilidad con el fin de eliminar la copia del título con destino a catastro y agilizar los procesos de actualización. No obstante, se recomienda que el municipio verifique que el Catastro realice el respectivo registro administrativo de la novedad.</w:t>
      </w:r>
    </w:p>
    <w:p w14:paraId="74C1D24F" w14:textId="77777777" w:rsidR="00CF2C82" w:rsidRDefault="009F54A0">
      <w:pPr>
        <w:pStyle w:val="Ttulo3"/>
        <w:numPr>
          <w:ilvl w:val="0"/>
          <w:numId w:val="8"/>
        </w:numPr>
        <w:rPr>
          <w:b/>
          <w:bCs/>
          <w:color w:val="000000"/>
          <w:sz w:val="24"/>
          <w:szCs w:val="24"/>
        </w:rPr>
      </w:pPr>
      <w:bookmarkStart w:id="48" w:name="_Toc228956552"/>
      <w:r>
        <w:rPr>
          <w:b/>
          <w:bCs/>
          <w:color w:val="000000"/>
          <w:sz w:val="24"/>
          <w:szCs w:val="24"/>
        </w:rPr>
        <w:t>Terminación del procedimiento</w:t>
      </w:r>
      <w:bookmarkEnd w:id="48"/>
    </w:p>
    <w:p w14:paraId="74C1D250" w14:textId="77777777" w:rsidR="00CF2C82" w:rsidRDefault="009F54A0">
      <w:pPr>
        <w:jc w:val="both"/>
        <w:rPr>
          <w:sz w:val="24"/>
          <w:szCs w:val="24"/>
        </w:rPr>
      </w:pPr>
      <w:r>
        <w:rPr>
          <w:sz w:val="24"/>
          <w:szCs w:val="24"/>
        </w:rPr>
        <w:t>Los municipios cedentes deberán dar por terminado el trámite administrativo siempre que ocurran las situaciones que se describen a continuación y deberán proceder según las condiciones especiales a una nueva asignación de ruta de saneamiento:</w:t>
      </w:r>
    </w:p>
    <w:p w14:paraId="74C1D251" w14:textId="77777777" w:rsidR="00CF2C82" w:rsidRDefault="00CF2C82">
      <w:pPr>
        <w:rPr>
          <w:sz w:val="24"/>
          <w:szCs w:val="24"/>
        </w:rPr>
      </w:pPr>
    </w:p>
    <w:p w14:paraId="74C1D252" w14:textId="77777777" w:rsidR="00CF2C82" w:rsidRDefault="009F54A0">
      <w:pPr>
        <w:numPr>
          <w:ilvl w:val="0"/>
          <w:numId w:val="10"/>
        </w:numPr>
        <w:spacing w:before="240"/>
        <w:jc w:val="both"/>
        <w:rPr>
          <w:sz w:val="24"/>
          <w:szCs w:val="24"/>
        </w:rPr>
      </w:pPr>
      <w:r>
        <w:rPr>
          <w:sz w:val="24"/>
          <w:szCs w:val="24"/>
        </w:rPr>
        <w:t xml:space="preserve"> El inmueble se encuentra ubicado en bienes de uso público.</w:t>
      </w:r>
    </w:p>
    <w:p w14:paraId="74C1D253" w14:textId="77777777" w:rsidR="00CF2C82" w:rsidRDefault="009F54A0">
      <w:pPr>
        <w:numPr>
          <w:ilvl w:val="0"/>
          <w:numId w:val="10"/>
        </w:numPr>
        <w:jc w:val="both"/>
        <w:rPr>
          <w:sz w:val="24"/>
          <w:szCs w:val="24"/>
        </w:rPr>
      </w:pPr>
      <w:r>
        <w:rPr>
          <w:sz w:val="24"/>
          <w:szCs w:val="24"/>
        </w:rPr>
        <w:t>Si el destino del inmueble en el que se encuentra ubicado es un fin institucional de salud y educación.</w:t>
      </w:r>
    </w:p>
    <w:p w14:paraId="74C1D254" w14:textId="77777777" w:rsidR="00CF2C82" w:rsidRDefault="009F54A0">
      <w:pPr>
        <w:numPr>
          <w:ilvl w:val="0"/>
          <w:numId w:val="10"/>
        </w:numPr>
        <w:jc w:val="both"/>
        <w:rPr>
          <w:sz w:val="24"/>
          <w:szCs w:val="24"/>
        </w:rPr>
      </w:pPr>
      <w:r>
        <w:rPr>
          <w:sz w:val="24"/>
          <w:szCs w:val="24"/>
        </w:rPr>
        <w:t xml:space="preserve">Si el inmueble se encuentra ubicado en zonas de conservación o protección ambiental, en áreas insalubres de riesgo y demás previstas en los artículos </w:t>
      </w:r>
      <w:hyperlink r:id="rId24" w:anchor="35">
        <w:r>
          <w:rPr>
            <w:sz w:val="24"/>
            <w:szCs w:val="24"/>
          </w:rPr>
          <w:t xml:space="preserve">35 </w:t>
        </w:r>
      </w:hyperlink>
      <w:r>
        <w:rPr>
          <w:sz w:val="24"/>
          <w:szCs w:val="24"/>
        </w:rPr>
        <w:t xml:space="preserve">y </w:t>
      </w:r>
      <w:hyperlink r:id="rId25" w:anchor="37">
        <w:r>
          <w:rPr>
            <w:sz w:val="24"/>
            <w:szCs w:val="24"/>
          </w:rPr>
          <w:t xml:space="preserve">37 </w:t>
        </w:r>
      </w:hyperlink>
      <w:r>
        <w:rPr>
          <w:sz w:val="24"/>
          <w:szCs w:val="24"/>
        </w:rPr>
        <w:t>de la Ley 388 de 1997, en concordancia con el plan de ordenamiento territorial o los instrumentos que lo desarrollen o complementen.</w:t>
      </w:r>
    </w:p>
    <w:p w14:paraId="74C1D255" w14:textId="77777777" w:rsidR="00CF2C82" w:rsidRDefault="009F54A0">
      <w:pPr>
        <w:numPr>
          <w:ilvl w:val="0"/>
          <w:numId w:val="10"/>
        </w:numPr>
        <w:jc w:val="both"/>
        <w:rPr>
          <w:sz w:val="24"/>
          <w:szCs w:val="24"/>
        </w:rPr>
      </w:pPr>
      <w:r>
        <w:rPr>
          <w:sz w:val="24"/>
          <w:szCs w:val="24"/>
        </w:rPr>
        <w:t xml:space="preserve">Cuando el hogar no cumpla los requisitos para la cesión del inmueble previstos en el artículo </w:t>
      </w:r>
      <w:hyperlink r:id="rId26" w:anchor="277">
        <w:r>
          <w:rPr>
            <w:sz w:val="24"/>
            <w:szCs w:val="24"/>
          </w:rPr>
          <w:t xml:space="preserve">277 </w:t>
        </w:r>
      </w:hyperlink>
      <w:r>
        <w:rPr>
          <w:sz w:val="24"/>
          <w:szCs w:val="24"/>
        </w:rPr>
        <w:t xml:space="preserve">de la Ley 1955 de 2019 en concordancia con el artículo </w:t>
      </w:r>
      <w:hyperlink r:id="rId27" w:anchor="14">
        <w:r>
          <w:rPr>
            <w:sz w:val="24"/>
            <w:szCs w:val="24"/>
          </w:rPr>
          <w:t xml:space="preserve">14 </w:t>
        </w:r>
      </w:hyperlink>
      <w:r>
        <w:rPr>
          <w:sz w:val="24"/>
          <w:szCs w:val="24"/>
        </w:rPr>
        <w:t>de la Ley 2044 de 2020.</w:t>
      </w:r>
    </w:p>
    <w:p w14:paraId="74C1D256" w14:textId="77777777" w:rsidR="00CF2C82" w:rsidRDefault="009F54A0">
      <w:pPr>
        <w:numPr>
          <w:ilvl w:val="0"/>
          <w:numId w:val="10"/>
        </w:numPr>
        <w:shd w:val="clear" w:color="auto" w:fill="FFFFFF"/>
        <w:jc w:val="both"/>
        <w:rPr>
          <w:sz w:val="24"/>
          <w:szCs w:val="24"/>
        </w:rPr>
      </w:pPr>
      <w:r>
        <w:rPr>
          <w:sz w:val="24"/>
          <w:szCs w:val="24"/>
        </w:rPr>
        <w:t>Si se presentaron imprecisiones o irregularidades y estas no se subsanaron</w:t>
      </w:r>
    </w:p>
    <w:p w14:paraId="481A2D6B" w14:textId="77777777" w:rsidR="0024780B" w:rsidRDefault="009F54A0">
      <w:pPr>
        <w:numPr>
          <w:ilvl w:val="0"/>
          <w:numId w:val="10"/>
        </w:numPr>
        <w:shd w:val="clear" w:color="auto" w:fill="FFFFFF"/>
        <w:spacing w:before="240" w:after="240"/>
        <w:jc w:val="both"/>
        <w:rPr>
          <w:b/>
          <w:bCs/>
          <w:sz w:val="24"/>
          <w:szCs w:val="24"/>
          <w:shd w:val="clear" w:color="auto" w:fill="CCCCCC"/>
        </w:rPr>
        <w:sectPr w:rsidR="0024780B">
          <w:pgSz w:w="11909" w:h="16834"/>
          <w:pgMar w:top="1440" w:right="1440" w:bottom="1440" w:left="1417" w:header="720" w:footer="720" w:gutter="0"/>
          <w:cols w:space="720"/>
        </w:sectPr>
      </w:pPr>
      <w:r>
        <w:rPr>
          <w:sz w:val="24"/>
          <w:szCs w:val="24"/>
        </w:rPr>
        <w:t xml:space="preserve">Si la destinación del inmueble no es habitacional, en este caso no se debe iniciar la actuación y se puede seguir la </w:t>
      </w:r>
      <w:r>
        <w:rPr>
          <w:b/>
          <w:bCs/>
          <w:sz w:val="24"/>
          <w:szCs w:val="24"/>
          <w:shd w:val="clear" w:color="auto" w:fill="CCCCCC"/>
        </w:rPr>
        <w:t>Ruta de enajenación directa.</w:t>
      </w:r>
    </w:p>
    <w:p w14:paraId="74C1D259" w14:textId="77777777" w:rsidR="00CF2C82" w:rsidRDefault="009F54A0">
      <w:pPr>
        <w:pBdr>
          <w:top w:val="nil"/>
          <w:left w:val="nil"/>
          <w:bottom w:val="nil"/>
          <w:right w:val="nil"/>
          <w:between w:val="nil"/>
        </w:pBdr>
        <w:spacing w:after="200" w:line="240" w:lineRule="auto"/>
        <w:jc w:val="center"/>
        <w:rPr>
          <w:b/>
          <w:bCs/>
          <w:color w:val="000000"/>
          <w:sz w:val="24"/>
          <w:szCs w:val="24"/>
        </w:rPr>
      </w:pPr>
      <w:bookmarkStart w:id="49" w:name="_heading=h.ibm4cdkzbgbu" w:colFirst="0" w:colLast="0"/>
      <w:bookmarkEnd w:id="49"/>
      <w:r>
        <w:rPr>
          <w:b/>
          <w:bCs/>
          <w:color w:val="000000"/>
          <w:sz w:val="24"/>
          <w:szCs w:val="24"/>
        </w:rPr>
        <w:lastRenderedPageBreak/>
        <w:t xml:space="preserve">Gráfica </w:t>
      </w:r>
      <w:proofErr w:type="gramStart"/>
      <w:r>
        <w:rPr>
          <w:b/>
          <w:bCs/>
          <w:color w:val="000000"/>
          <w:sz w:val="24"/>
          <w:szCs w:val="24"/>
        </w:rPr>
        <w:t>No.  8</w:t>
      </w:r>
      <w:proofErr w:type="gramEnd"/>
      <w:r>
        <w:rPr>
          <w:b/>
          <w:bCs/>
          <w:color w:val="000000"/>
          <w:sz w:val="24"/>
          <w:szCs w:val="24"/>
        </w:rPr>
        <w:t xml:space="preserve"> Flujograma del proceso de cesión a título gratuito de bienes fiscales a particulares</w:t>
      </w:r>
    </w:p>
    <w:p w14:paraId="31F30F12" w14:textId="377156CC" w:rsidR="00215BF6" w:rsidRDefault="00357385" w:rsidP="00357385">
      <w:pPr>
        <w:jc w:val="center"/>
        <w:sectPr w:rsidR="00215BF6" w:rsidSect="005B147D">
          <w:pgSz w:w="16834" w:h="11909" w:orient="landscape"/>
          <w:pgMar w:top="1417" w:right="1440" w:bottom="1440" w:left="1440" w:header="720" w:footer="720" w:gutter="0"/>
          <w:cols w:space="720"/>
          <w:docGrid w:linePitch="299"/>
        </w:sectPr>
      </w:pPr>
      <w:r>
        <w:rPr>
          <w:noProof/>
        </w:rPr>
        <w:drawing>
          <wp:inline distT="0" distB="0" distL="0" distR="0" wp14:anchorId="488999F8" wp14:editId="35BB99F3">
            <wp:extent cx="8192131" cy="4608000"/>
            <wp:effectExtent l="0" t="0" r="0" b="2540"/>
            <wp:docPr id="1947031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3198" name="Imagen 194703198"/>
                    <pic:cNvPicPr/>
                  </pic:nvPicPr>
                  <pic:blipFill>
                    <a:blip r:embed="rId28">
                      <a:extLst>
                        <a:ext uri="{28A0092B-C50C-407E-A947-70E740481C1C}">
                          <a14:useLocalDpi xmlns:a14="http://schemas.microsoft.com/office/drawing/2010/main" val="0"/>
                        </a:ext>
                      </a:extLst>
                    </a:blip>
                    <a:stretch>
                      <a:fillRect/>
                    </a:stretch>
                  </pic:blipFill>
                  <pic:spPr>
                    <a:xfrm>
                      <a:off x="0" y="0"/>
                      <a:ext cx="8192131" cy="4608000"/>
                    </a:xfrm>
                    <a:prstGeom prst="rect">
                      <a:avLst/>
                    </a:prstGeom>
                  </pic:spPr>
                </pic:pic>
              </a:graphicData>
            </a:graphic>
          </wp:inline>
        </w:drawing>
      </w:r>
      <w:r w:rsidR="009F54A0">
        <w:t xml:space="preserve">     </w:t>
      </w:r>
      <w:bookmarkStart w:id="50" w:name="_heading=h.1de25a4d81xl" w:colFirst="0" w:colLast="0"/>
      <w:bookmarkEnd w:id="50"/>
    </w:p>
    <w:p w14:paraId="74C1D26E" w14:textId="77777777" w:rsidR="00CF2C82" w:rsidRDefault="009F54A0">
      <w:pPr>
        <w:pStyle w:val="Ttulo1"/>
        <w:rPr>
          <w:b/>
          <w:bCs/>
          <w:sz w:val="24"/>
          <w:szCs w:val="24"/>
        </w:rPr>
      </w:pPr>
      <w:bookmarkStart w:id="51" w:name="_heading=h.ou8tjbmhxahv" w:colFirst="0" w:colLast="0"/>
      <w:bookmarkStart w:id="52" w:name="_Toc228956553"/>
      <w:bookmarkEnd w:id="51"/>
      <w:r>
        <w:rPr>
          <w:b/>
          <w:bCs/>
          <w:sz w:val="24"/>
          <w:szCs w:val="24"/>
        </w:rPr>
        <w:lastRenderedPageBreak/>
        <w:t>Glosario</w:t>
      </w:r>
      <w:bookmarkEnd w:id="52"/>
    </w:p>
    <w:p w14:paraId="74C1D26F" w14:textId="77777777" w:rsidR="00CF2C82" w:rsidRDefault="009F54A0">
      <w:pPr>
        <w:spacing w:before="240" w:after="240"/>
        <w:jc w:val="both"/>
        <w:rPr>
          <w:sz w:val="24"/>
          <w:szCs w:val="24"/>
        </w:rPr>
      </w:pPr>
      <w:r>
        <w:rPr>
          <w:sz w:val="24"/>
          <w:szCs w:val="24"/>
        </w:rPr>
        <w:t>Dentro de las palabras claves que se encuentran en la presente cartilla son:</w:t>
      </w:r>
    </w:p>
    <w:p w14:paraId="74C1D270" w14:textId="77777777" w:rsidR="00CF2C82" w:rsidRDefault="009F54A0">
      <w:pPr>
        <w:numPr>
          <w:ilvl w:val="0"/>
          <w:numId w:val="2"/>
        </w:numPr>
        <w:spacing w:before="240" w:after="240"/>
        <w:jc w:val="both"/>
        <w:rPr>
          <w:rFonts w:ascii="Times New Roman" w:eastAsia="Times New Roman" w:hAnsi="Times New Roman" w:cs="Times New Roman"/>
          <w:sz w:val="24"/>
          <w:szCs w:val="24"/>
        </w:rPr>
      </w:pPr>
      <w:r>
        <w:rPr>
          <w:b/>
          <w:bCs/>
          <w:sz w:val="24"/>
          <w:szCs w:val="24"/>
        </w:rPr>
        <w:t xml:space="preserve">Bien fiscal titulable: </w:t>
      </w:r>
      <w:r>
        <w:rPr>
          <w:sz w:val="24"/>
          <w:szCs w:val="24"/>
        </w:rPr>
        <w:t>Son aquellos bienes de propiedad de las entidades estatales que han sido ocupados ilegalmente por ocupantes. El derecho de propiedad de estos bienes puede ser cedido o transferido a título gratuito u oneroso por la entidad territorial titular del bien, siempre y cuando no correspondan a espacio público, o a áreas protegidas del municipio o distrito.</w:t>
      </w:r>
    </w:p>
    <w:p w14:paraId="74C1D271" w14:textId="77777777" w:rsidR="00CF2C82" w:rsidRDefault="009F54A0">
      <w:pPr>
        <w:numPr>
          <w:ilvl w:val="0"/>
          <w:numId w:val="2"/>
        </w:numPr>
        <w:spacing w:before="240" w:after="240"/>
        <w:jc w:val="both"/>
        <w:rPr>
          <w:rFonts w:ascii="Times New Roman" w:eastAsia="Times New Roman" w:hAnsi="Times New Roman" w:cs="Times New Roman"/>
          <w:sz w:val="24"/>
          <w:szCs w:val="24"/>
        </w:rPr>
      </w:pPr>
      <w:r>
        <w:rPr>
          <w:b/>
          <w:bCs/>
          <w:sz w:val="24"/>
          <w:szCs w:val="24"/>
        </w:rPr>
        <w:t>Construcción.</w:t>
      </w:r>
      <w:r>
        <w:rPr>
          <w:sz w:val="24"/>
          <w:szCs w:val="24"/>
        </w:rPr>
        <w:t xml:space="preserve"> Edificación realizada o financiada por una entidad pública sobre el predio fiscal ocupado.</w:t>
      </w:r>
    </w:p>
    <w:p w14:paraId="74C1D272" w14:textId="77777777" w:rsidR="00CF2C82" w:rsidRDefault="009F54A0">
      <w:pPr>
        <w:numPr>
          <w:ilvl w:val="0"/>
          <w:numId w:val="2"/>
        </w:numPr>
        <w:spacing w:after="240"/>
        <w:jc w:val="both"/>
        <w:rPr>
          <w:rFonts w:ascii="Times New Roman" w:eastAsia="Times New Roman" w:hAnsi="Times New Roman" w:cs="Times New Roman"/>
          <w:sz w:val="24"/>
          <w:szCs w:val="24"/>
        </w:rPr>
      </w:pPr>
      <w:r>
        <w:rPr>
          <w:b/>
          <w:bCs/>
          <w:sz w:val="24"/>
          <w:szCs w:val="24"/>
        </w:rPr>
        <w:t>Destinación económica habitacional.</w:t>
      </w:r>
      <w:r>
        <w:rPr>
          <w:sz w:val="24"/>
          <w:szCs w:val="24"/>
        </w:rPr>
        <w:t xml:space="preserve"> Es la clasificación que se da al inmueble cuyo destino corresponde a vivienda, en la </w:t>
      </w:r>
      <w:proofErr w:type="spellStart"/>
      <w:r>
        <w:rPr>
          <w:sz w:val="24"/>
          <w:szCs w:val="24"/>
        </w:rPr>
        <w:t>cuál</w:t>
      </w:r>
      <w:proofErr w:type="spellEnd"/>
      <w:r>
        <w:rPr>
          <w:sz w:val="24"/>
          <w:szCs w:val="24"/>
        </w:rPr>
        <w:t xml:space="preserve"> se incluyen parqueaderos, garajes y depósitos ligados a la vivienda, cuente o no con reglamento de propiedad horizontal.</w:t>
      </w:r>
    </w:p>
    <w:p w14:paraId="74C1D273" w14:textId="77777777" w:rsidR="00CF2C82" w:rsidRDefault="009F54A0">
      <w:pPr>
        <w:numPr>
          <w:ilvl w:val="0"/>
          <w:numId w:val="2"/>
        </w:numPr>
        <w:spacing w:after="240"/>
        <w:jc w:val="both"/>
        <w:rPr>
          <w:b/>
          <w:bCs/>
          <w:sz w:val="24"/>
          <w:szCs w:val="24"/>
        </w:rPr>
      </w:pPr>
      <w:r>
        <w:rPr>
          <w:b/>
          <w:bCs/>
          <w:sz w:val="24"/>
          <w:szCs w:val="24"/>
        </w:rPr>
        <w:t>Destinación económica de los inmuebles.</w:t>
      </w:r>
      <w:r>
        <w:rPr>
          <w:sz w:val="24"/>
          <w:szCs w:val="24"/>
        </w:rPr>
        <w:t xml:space="preserve"> Es la clasificación que otorga la autoridad encargada de la gestión catastral, para fines estadísticos a cada inmueble en su conjunto-terreno, construcciones o edificaciones, en el momento de la identificación predial, de conformidad con la actividad predominante que en él se desarrolle.</w:t>
      </w:r>
    </w:p>
    <w:p w14:paraId="74C1D274" w14:textId="77777777" w:rsidR="00CF2C82" w:rsidRDefault="009F54A0">
      <w:pPr>
        <w:numPr>
          <w:ilvl w:val="0"/>
          <w:numId w:val="2"/>
        </w:numPr>
        <w:spacing w:after="240"/>
        <w:jc w:val="both"/>
        <w:rPr>
          <w:b/>
          <w:bCs/>
          <w:sz w:val="24"/>
          <w:szCs w:val="24"/>
        </w:rPr>
      </w:pPr>
      <w:r>
        <w:rPr>
          <w:b/>
          <w:bCs/>
          <w:sz w:val="24"/>
          <w:szCs w:val="24"/>
        </w:rPr>
        <w:t xml:space="preserve">Hogar. </w:t>
      </w:r>
      <w:r>
        <w:rPr>
          <w:sz w:val="24"/>
          <w:szCs w:val="24"/>
        </w:rPr>
        <w:t>Se entiende por hogar el conformado por una o más personas que integren el mismo núcleo familiar, los cónyuges, las uniones maritales de hecho, incluyendo las parejas del mismo sexo, y/o el grupo de personas unidas por vínculos de parentesco hasta tercer grado de consanguinidad, segundo de afinidad y primero civil que compartan un mismo espacio habitacional. Así mismo, se entiende por hogar el que se encuentre conformado por menores de edad cuando ambos padres hayan fallecido, estén desaparecidos, privados de la libertad o hayan sido privados de la patria potestad; en estos últimos eventos, el trámite se realizará a través del tutor y/o curador en acompañamiento del defensor de familia, cuando sea el caso.</w:t>
      </w:r>
    </w:p>
    <w:p w14:paraId="74C1D275" w14:textId="77777777" w:rsidR="00CF2C82" w:rsidRDefault="009F54A0">
      <w:pPr>
        <w:numPr>
          <w:ilvl w:val="0"/>
          <w:numId w:val="2"/>
        </w:numPr>
        <w:spacing w:after="240"/>
        <w:jc w:val="both"/>
        <w:rPr>
          <w:b/>
          <w:bCs/>
          <w:sz w:val="24"/>
          <w:szCs w:val="24"/>
        </w:rPr>
      </w:pPr>
      <w:r>
        <w:rPr>
          <w:b/>
          <w:bCs/>
          <w:sz w:val="24"/>
          <w:szCs w:val="24"/>
        </w:rPr>
        <w:t xml:space="preserve">Medios de prueba. </w:t>
      </w:r>
      <w:r>
        <w:rPr>
          <w:sz w:val="24"/>
          <w:szCs w:val="24"/>
        </w:rPr>
        <w:t>Son medios de prueba, entre otros, la declaración de parte, la confesión, el juramento, el testimonio de terceros, el dictamen pericial, la inspección judicial, los documentos, los indicios, los informes y/o los demás permitidos en el artículo 165 del Código General del Proceso.</w:t>
      </w:r>
    </w:p>
    <w:p w14:paraId="74C1D276" w14:textId="77777777" w:rsidR="00CF2C82" w:rsidRDefault="009F54A0">
      <w:pPr>
        <w:numPr>
          <w:ilvl w:val="0"/>
          <w:numId w:val="2"/>
        </w:numPr>
        <w:spacing w:after="240"/>
        <w:jc w:val="both"/>
        <w:rPr>
          <w:b/>
          <w:bCs/>
          <w:sz w:val="24"/>
          <w:szCs w:val="24"/>
        </w:rPr>
      </w:pPr>
      <w:r>
        <w:rPr>
          <w:b/>
          <w:bCs/>
          <w:sz w:val="24"/>
          <w:szCs w:val="24"/>
        </w:rPr>
        <w:lastRenderedPageBreak/>
        <w:t xml:space="preserve">Mejora. </w:t>
      </w:r>
      <w:r>
        <w:rPr>
          <w:sz w:val="24"/>
          <w:szCs w:val="24"/>
        </w:rPr>
        <w:t>Edificación efectuada por una persona natural o jurídica sobre un predio fiscal, que puede o no tener destinación económica.</w:t>
      </w:r>
    </w:p>
    <w:p w14:paraId="74C1D277" w14:textId="77777777" w:rsidR="00CF2C82" w:rsidRDefault="009F54A0">
      <w:pPr>
        <w:numPr>
          <w:ilvl w:val="0"/>
          <w:numId w:val="2"/>
        </w:numPr>
        <w:spacing w:before="240" w:after="240"/>
        <w:jc w:val="both"/>
        <w:rPr>
          <w:sz w:val="24"/>
          <w:szCs w:val="24"/>
        </w:rPr>
      </w:pPr>
      <w:r>
        <w:rPr>
          <w:b/>
          <w:bCs/>
          <w:sz w:val="24"/>
          <w:szCs w:val="24"/>
        </w:rPr>
        <w:t xml:space="preserve">Ocupación. </w:t>
      </w:r>
      <w:r>
        <w:rPr>
          <w:sz w:val="24"/>
          <w:szCs w:val="24"/>
        </w:rPr>
        <w:t>Corresponde a la situación de hecho en virtud de la cuál un hogar se encuentra asentado en un bien inmueble fiscal titulable.</w:t>
      </w:r>
    </w:p>
    <w:p w14:paraId="74C1D278" w14:textId="77777777" w:rsidR="00CF2C82" w:rsidRDefault="00CF2C82">
      <w:pPr>
        <w:spacing w:before="240" w:after="240"/>
        <w:ind w:left="720"/>
        <w:jc w:val="center"/>
        <w:rPr>
          <w:b/>
          <w:bCs/>
          <w:sz w:val="24"/>
          <w:szCs w:val="24"/>
        </w:rPr>
      </w:pPr>
    </w:p>
    <w:p w14:paraId="74C1D279" w14:textId="77777777" w:rsidR="00CF2C82" w:rsidRDefault="00CF2C82">
      <w:pPr>
        <w:spacing w:before="240" w:after="240"/>
        <w:ind w:left="720"/>
        <w:jc w:val="center"/>
        <w:rPr>
          <w:b/>
          <w:bCs/>
          <w:sz w:val="24"/>
          <w:szCs w:val="24"/>
        </w:rPr>
      </w:pPr>
    </w:p>
    <w:p w14:paraId="74C1D27A" w14:textId="77777777" w:rsidR="00CF2C82" w:rsidRDefault="00CF2C82">
      <w:pPr>
        <w:spacing w:before="240" w:after="240"/>
        <w:ind w:left="720"/>
        <w:jc w:val="center"/>
        <w:rPr>
          <w:b/>
          <w:bCs/>
          <w:sz w:val="24"/>
          <w:szCs w:val="24"/>
        </w:rPr>
      </w:pPr>
    </w:p>
    <w:p w14:paraId="74C1D27B" w14:textId="77777777" w:rsidR="00CF2C82" w:rsidRDefault="00CF2C82">
      <w:pPr>
        <w:spacing w:before="240" w:after="240"/>
        <w:ind w:left="720"/>
        <w:jc w:val="center"/>
        <w:rPr>
          <w:b/>
          <w:bCs/>
          <w:sz w:val="24"/>
          <w:szCs w:val="24"/>
        </w:rPr>
      </w:pPr>
    </w:p>
    <w:p w14:paraId="74C1D27C" w14:textId="77777777" w:rsidR="00CF2C82" w:rsidRDefault="00CF2C82">
      <w:pPr>
        <w:spacing w:before="240" w:after="240"/>
        <w:ind w:left="720"/>
        <w:jc w:val="center"/>
        <w:rPr>
          <w:b/>
          <w:bCs/>
          <w:sz w:val="24"/>
          <w:szCs w:val="24"/>
        </w:rPr>
      </w:pPr>
    </w:p>
    <w:p w14:paraId="74C1D27D" w14:textId="77777777" w:rsidR="00CF2C82" w:rsidRDefault="00CF2C82">
      <w:pPr>
        <w:spacing w:before="240" w:after="240"/>
        <w:ind w:left="720"/>
        <w:jc w:val="center"/>
        <w:rPr>
          <w:b/>
          <w:bCs/>
          <w:sz w:val="24"/>
          <w:szCs w:val="24"/>
        </w:rPr>
      </w:pPr>
    </w:p>
    <w:p w14:paraId="74C1D27E" w14:textId="77777777" w:rsidR="00CF2C82" w:rsidRDefault="00CF2C82">
      <w:pPr>
        <w:spacing w:before="240" w:after="240"/>
        <w:ind w:left="720"/>
        <w:jc w:val="center"/>
        <w:rPr>
          <w:b/>
          <w:bCs/>
          <w:sz w:val="24"/>
          <w:szCs w:val="24"/>
        </w:rPr>
      </w:pPr>
    </w:p>
    <w:p w14:paraId="74C1D27F" w14:textId="77777777" w:rsidR="00CF2C82" w:rsidRDefault="00CF2C82">
      <w:pPr>
        <w:spacing w:before="240" w:after="240"/>
        <w:ind w:left="720"/>
        <w:jc w:val="center"/>
        <w:rPr>
          <w:b/>
          <w:bCs/>
          <w:sz w:val="24"/>
          <w:szCs w:val="24"/>
        </w:rPr>
      </w:pPr>
    </w:p>
    <w:p w14:paraId="74C1D280" w14:textId="77777777" w:rsidR="00CF2C82" w:rsidRDefault="00CF2C82">
      <w:pPr>
        <w:spacing w:before="240" w:after="240"/>
        <w:ind w:left="720"/>
        <w:jc w:val="center"/>
        <w:rPr>
          <w:b/>
          <w:bCs/>
          <w:sz w:val="24"/>
          <w:szCs w:val="24"/>
        </w:rPr>
      </w:pPr>
    </w:p>
    <w:p w14:paraId="74C1D281" w14:textId="77777777" w:rsidR="00CF2C82" w:rsidRDefault="00CF2C82">
      <w:pPr>
        <w:spacing w:before="240" w:after="240"/>
        <w:ind w:left="720"/>
        <w:jc w:val="center"/>
        <w:rPr>
          <w:b/>
          <w:bCs/>
          <w:sz w:val="24"/>
          <w:szCs w:val="24"/>
        </w:rPr>
      </w:pPr>
    </w:p>
    <w:p w14:paraId="74C1D282" w14:textId="77777777" w:rsidR="00CF2C82" w:rsidRDefault="00CF2C82">
      <w:pPr>
        <w:spacing w:before="240" w:after="240"/>
        <w:ind w:left="720"/>
        <w:jc w:val="center"/>
        <w:rPr>
          <w:b/>
          <w:bCs/>
          <w:sz w:val="24"/>
          <w:szCs w:val="24"/>
        </w:rPr>
      </w:pPr>
    </w:p>
    <w:p w14:paraId="74C1D283" w14:textId="77777777" w:rsidR="00CF2C82" w:rsidRDefault="00CF2C82">
      <w:pPr>
        <w:spacing w:before="240" w:after="240"/>
        <w:ind w:left="720"/>
        <w:jc w:val="center"/>
        <w:rPr>
          <w:b/>
          <w:bCs/>
          <w:sz w:val="24"/>
          <w:szCs w:val="24"/>
        </w:rPr>
      </w:pPr>
    </w:p>
    <w:p w14:paraId="74C1D284" w14:textId="77777777" w:rsidR="00CF2C82" w:rsidRDefault="00CF2C82">
      <w:pPr>
        <w:spacing w:before="240" w:after="240"/>
        <w:ind w:left="720"/>
        <w:jc w:val="center"/>
        <w:rPr>
          <w:b/>
          <w:bCs/>
          <w:sz w:val="24"/>
          <w:szCs w:val="24"/>
        </w:rPr>
      </w:pPr>
    </w:p>
    <w:p w14:paraId="74C1D285" w14:textId="77777777" w:rsidR="00CF2C82" w:rsidRDefault="00CF2C82">
      <w:pPr>
        <w:spacing w:before="240" w:after="240"/>
        <w:ind w:left="720"/>
        <w:jc w:val="center"/>
        <w:rPr>
          <w:b/>
          <w:bCs/>
          <w:sz w:val="24"/>
          <w:szCs w:val="24"/>
        </w:rPr>
      </w:pPr>
    </w:p>
    <w:p w14:paraId="74C1D286" w14:textId="77777777" w:rsidR="00CF2C82" w:rsidRDefault="00CF2C82">
      <w:pPr>
        <w:spacing w:before="240" w:after="240"/>
        <w:ind w:left="720"/>
        <w:jc w:val="center"/>
        <w:rPr>
          <w:b/>
          <w:bCs/>
          <w:sz w:val="24"/>
          <w:szCs w:val="24"/>
        </w:rPr>
      </w:pPr>
    </w:p>
    <w:p w14:paraId="74C1D287" w14:textId="77777777" w:rsidR="00CF2C82" w:rsidRDefault="00CF2C82">
      <w:pPr>
        <w:spacing w:before="240" w:after="240"/>
        <w:ind w:left="720"/>
        <w:jc w:val="center"/>
        <w:rPr>
          <w:b/>
          <w:bCs/>
          <w:sz w:val="24"/>
          <w:szCs w:val="24"/>
        </w:rPr>
      </w:pPr>
    </w:p>
    <w:p w14:paraId="74C1D288" w14:textId="77777777" w:rsidR="00CF2C82" w:rsidRDefault="00CF2C82">
      <w:pPr>
        <w:spacing w:before="240" w:after="240"/>
        <w:ind w:left="720"/>
        <w:jc w:val="center"/>
        <w:rPr>
          <w:b/>
          <w:bCs/>
          <w:sz w:val="24"/>
          <w:szCs w:val="24"/>
        </w:rPr>
      </w:pPr>
    </w:p>
    <w:p w14:paraId="74C1D289" w14:textId="77777777" w:rsidR="00CF2C82" w:rsidRDefault="00CF2C82">
      <w:pPr>
        <w:spacing w:before="240" w:after="240"/>
        <w:ind w:left="720"/>
        <w:jc w:val="center"/>
        <w:rPr>
          <w:b/>
          <w:bCs/>
          <w:sz w:val="24"/>
          <w:szCs w:val="24"/>
        </w:rPr>
      </w:pPr>
    </w:p>
    <w:p w14:paraId="74C1D28A" w14:textId="77777777" w:rsidR="00CF2C82" w:rsidRDefault="00CF2C82">
      <w:pPr>
        <w:spacing w:before="240" w:after="240"/>
        <w:ind w:left="720"/>
        <w:jc w:val="center"/>
        <w:rPr>
          <w:b/>
          <w:bCs/>
          <w:sz w:val="24"/>
          <w:szCs w:val="24"/>
        </w:rPr>
      </w:pPr>
    </w:p>
    <w:p w14:paraId="74C1D28B" w14:textId="77777777" w:rsidR="00CF2C82" w:rsidRDefault="00CF2C82">
      <w:pPr>
        <w:spacing w:before="240" w:after="240"/>
        <w:ind w:left="720"/>
        <w:jc w:val="center"/>
        <w:rPr>
          <w:b/>
          <w:bCs/>
          <w:sz w:val="24"/>
          <w:szCs w:val="24"/>
        </w:rPr>
      </w:pPr>
    </w:p>
    <w:p w14:paraId="74C1D28E" w14:textId="37FA7A7F" w:rsidR="00CF2C82" w:rsidRDefault="006D085F">
      <w:pPr>
        <w:pStyle w:val="Ttulo1"/>
        <w:jc w:val="center"/>
        <w:rPr>
          <w:b/>
          <w:bCs/>
          <w:sz w:val="24"/>
          <w:szCs w:val="24"/>
        </w:rPr>
      </w:pPr>
      <w:bookmarkStart w:id="53" w:name="_Toc228956554"/>
      <w:r>
        <w:rPr>
          <w:b/>
          <w:bCs/>
          <w:sz w:val="24"/>
          <w:szCs w:val="24"/>
        </w:rPr>
        <w:lastRenderedPageBreak/>
        <w:t>Anexos</w:t>
      </w:r>
      <w:bookmarkEnd w:id="53"/>
    </w:p>
    <w:p w14:paraId="74C1D28F" w14:textId="2E33C066" w:rsidR="00CF2C82" w:rsidRDefault="009F54A0">
      <w:pPr>
        <w:pStyle w:val="Ttulo2"/>
        <w:jc w:val="center"/>
        <w:rPr>
          <w:b/>
          <w:bCs/>
          <w:sz w:val="24"/>
          <w:szCs w:val="24"/>
        </w:rPr>
      </w:pPr>
      <w:bookmarkStart w:id="54" w:name="_Toc228956555"/>
      <w:r>
        <w:rPr>
          <w:b/>
          <w:bCs/>
          <w:sz w:val="24"/>
          <w:szCs w:val="24"/>
        </w:rPr>
        <w:t>A</w:t>
      </w:r>
      <w:r w:rsidR="006D085F">
        <w:rPr>
          <w:b/>
          <w:bCs/>
          <w:sz w:val="24"/>
          <w:szCs w:val="24"/>
        </w:rPr>
        <w:t xml:space="preserve">nexo </w:t>
      </w:r>
      <w:proofErr w:type="spellStart"/>
      <w:r w:rsidR="006D085F">
        <w:rPr>
          <w:b/>
          <w:bCs/>
          <w:sz w:val="24"/>
          <w:szCs w:val="24"/>
        </w:rPr>
        <w:t>N</w:t>
      </w:r>
      <w:r w:rsidR="00D25D92">
        <w:rPr>
          <w:b/>
          <w:bCs/>
          <w:sz w:val="24"/>
          <w:szCs w:val="24"/>
        </w:rPr>
        <w:t>°</w:t>
      </w:r>
      <w:proofErr w:type="spellEnd"/>
      <w:r>
        <w:rPr>
          <w:b/>
          <w:bCs/>
          <w:sz w:val="24"/>
          <w:szCs w:val="24"/>
        </w:rPr>
        <w:t xml:space="preserve"> 1. Tabla de normatividad aplicable</w:t>
      </w:r>
      <w:bookmarkEnd w:id="54"/>
    </w:p>
    <w:tbl>
      <w:tblPr>
        <w:tblStyle w:val="a4"/>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70"/>
        <w:gridCol w:w="1740"/>
        <w:gridCol w:w="4470"/>
      </w:tblGrid>
      <w:tr w:rsidR="00CF2C82" w14:paraId="74C1D291" w14:textId="77777777">
        <w:trPr>
          <w:trHeight w:val="567"/>
        </w:trPr>
        <w:tc>
          <w:tcPr>
            <w:tcW w:w="8880"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vAlign w:val="center"/>
          </w:tcPr>
          <w:p w14:paraId="74C1D290" w14:textId="77777777" w:rsidR="00CF2C82" w:rsidRDefault="009F54A0">
            <w:pPr>
              <w:jc w:val="center"/>
              <w:rPr>
                <w:b/>
                <w:bCs/>
                <w:sz w:val="24"/>
                <w:szCs w:val="24"/>
              </w:rPr>
            </w:pPr>
            <w:r>
              <w:rPr>
                <w:b/>
                <w:bCs/>
                <w:sz w:val="24"/>
                <w:szCs w:val="24"/>
              </w:rPr>
              <w:t>Leyes</w:t>
            </w:r>
          </w:p>
        </w:tc>
      </w:tr>
      <w:tr w:rsidR="00CF2C82" w14:paraId="74C1D295" w14:textId="77777777">
        <w:trPr>
          <w:trHeight w:val="567"/>
        </w:trPr>
        <w:tc>
          <w:tcPr>
            <w:tcW w:w="267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92" w14:textId="77777777" w:rsidR="00CF2C82" w:rsidRDefault="009F54A0">
            <w:pPr>
              <w:jc w:val="both"/>
              <w:rPr>
                <w:b/>
                <w:bCs/>
                <w:sz w:val="24"/>
                <w:szCs w:val="24"/>
              </w:rPr>
            </w:pPr>
            <w:r>
              <w:rPr>
                <w:b/>
                <w:bCs/>
                <w:sz w:val="24"/>
                <w:szCs w:val="24"/>
              </w:rPr>
              <w:t>Constitución Política de Colombia</w:t>
            </w:r>
          </w:p>
        </w:tc>
        <w:tc>
          <w:tcPr>
            <w:tcW w:w="1740" w:type="dxa"/>
            <w:tcBorders>
              <w:bottom w:val="single" w:sz="8" w:space="0" w:color="000000"/>
              <w:right w:val="single" w:sz="8" w:space="0" w:color="000000"/>
            </w:tcBorders>
            <w:tcMar>
              <w:top w:w="0" w:type="dxa"/>
              <w:left w:w="100" w:type="dxa"/>
              <w:bottom w:w="0" w:type="dxa"/>
              <w:right w:w="100" w:type="dxa"/>
            </w:tcMar>
            <w:vAlign w:val="center"/>
          </w:tcPr>
          <w:p w14:paraId="74C1D293" w14:textId="77777777" w:rsidR="00CF2C82" w:rsidRDefault="009F54A0">
            <w:pPr>
              <w:jc w:val="both"/>
              <w:rPr>
                <w:sz w:val="24"/>
                <w:szCs w:val="24"/>
              </w:rPr>
            </w:pPr>
            <w:r>
              <w:rPr>
                <w:sz w:val="24"/>
                <w:szCs w:val="24"/>
              </w:rPr>
              <w:t>Art. 51</w:t>
            </w:r>
          </w:p>
        </w:tc>
        <w:tc>
          <w:tcPr>
            <w:tcW w:w="4470" w:type="dxa"/>
            <w:tcBorders>
              <w:bottom w:val="single" w:sz="8" w:space="0" w:color="000000"/>
              <w:right w:val="single" w:sz="8" w:space="0" w:color="000000"/>
            </w:tcBorders>
            <w:tcMar>
              <w:top w:w="0" w:type="dxa"/>
              <w:left w:w="100" w:type="dxa"/>
              <w:bottom w:w="0" w:type="dxa"/>
              <w:right w:w="100" w:type="dxa"/>
            </w:tcMar>
            <w:vAlign w:val="center"/>
          </w:tcPr>
          <w:p w14:paraId="74C1D294" w14:textId="77777777" w:rsidR="00CF2C82" w:rsidRDefault="009F54A0">
            <w:pPr>
              <w:jc w:val="both"/>
              <w:rPr>
                <w:sz w:val="24"/>
                <w:szCs w:val="24"/>
              </w:rPr>
            </w:pPr>
            <w:r>
              <w:rPr>
                <w:sz w:val="24"/>
                <w:szCs w:val="24"/>
              </w:rPr>
              <w:t>Establece el derecho de todos los colombianos a tener una vivienda digna, estableciendo planes y programas de acceso a ella.</w:t>
            </w:r>
          </w:p>
        </w:tc>
      </w:tr>
      <w:tr w:rsidR="00CF2C82" w14:paraId="74C1D299" w14:textId="77777777">
        <w:trPr>
          <w:trHeight w:val="567"/>
        </w:trPr>
        <w:tc>
          <w:tcPr>
            <w:tcW w:w="267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96" w14:textId="77777777" w:rsidR="00CF2C82" w:rsidRDefault="009F54A0">
            <w:pPr>
              <w:shd w:val="clear" w:color="auto" w:fill="FFFFFF"/>
              <w:jc w:val="both"/>
              <w:rPr>
                <w:b/>
                <w:bCs/>
                <w:sz w:val="24"/>
                <w:szCs w:val="24"/>
              </w:rPr>
            </w:pPr>
            <w:r>
              <w:rPr>
                <w:b/>
                <w:bCs/>
                <w:sz w:val="24"/>
                <w:szCs w:val="24"/>
              </w:rPr>
              <w:t>Ley 1001 de 2005</w:t>
            </w:r>
          </w:p>
        </w:tc>
        <w:tc>
          <w:tcPr>
            <w:tcW w:w="1740" w:type="dxa"/>
            <w:tcBorders>
              <w:bottom w:val="single" w:sz="8" w:space="0" w:color="000000"/>
              <w:right w:val="single" w:sz="8" w:space="0" w:color="000000"/>
            </w:tcBorders>
            <w:tcMar>
              <w:top w:w="0" w:type="dxa"/>
              <w:left w:w="100" w:type="dxa"/>
              <w:bottom w:w="0" w:type="dxa"/>
              <w:right w:w="100" w:type="dxa"/>
            </w:tcMar>
            <w:vAlign w:val="center"/>
          </w:tcPr>
          <w:p w14:paraId="74C1D297" w14:textId="77777777" w:rsidR="00CF2C82" w:rsidRDefault="009F54A0">
            <w:pPr>
              <w:jc w:val="both"/>
              <w:rPr>
                <w:sz w:val="24"/>
                <w:szCs w:val="24"/>
              </w:rPr>
            </w:pPr>
            <w:r>
              <w:rPr>
                <w:sz w:val="24"/>
                <w:szCs w:val="24"/>
              </w:rPr>
              <w:t>Arts. 1 al 5</w:t>
            </w:r>
          </w:p>
        </w:tc>
        <w:tc>
          <w:tcPr>
            <w:tcW w:w="4470" w:type="dxa"/>
            <w:tcBorders>
              <w:bottom w:val="single" w:sz="8" w:space="0" w:color="000000"/>
              <w:right w:val="single" w:sz="8" w:space="0" w:color="000000"/>
            </w:tcBorders>
            <w:tcMar>
              <w:top w:w="0" w:type="dxa"/>
              <w:left w:w="100" w:type="dxa"/>
              <w:bottom w:w="0" w:type="dxa"/>
              <w:right w:w="100" w:type="dxa"/>
            </w:tcMar>
            <w:vAlign w:val="center"/>
          </w:tcPr>
          <w:p w14:paraId="74C1D298" w14:textId="77777777" w:rsidR="00CF2C82" w:rsidRDefault="009F54A0">
            <w:pPr>
              <w:jc w:val="both"/>
              <w:rPr>
                <w:sz w:val="24"/>
                <w:szCs w:val="24"/>
              </w:rPr>
            </w:pPr>
            <w:r>
              <w:rPr>
                <w:sz w:val="24"/>
                <w:szCs w:val="24"/>
              </w:rPr>
              <w:t>Regulan directamente la figura de la cesión gratuita.</w:t>
            </w:r>
          </w:p>
        </w:tc>
      </w:tr>
      <w:tr w:rsidR="00CF2C82" w14:paraId="74C1D29E" w14:textId="77777777">
        <w:trPr>
          <w:trHeight w:val="567"/>
        </w:trPr>
        <w:tc>
          <w:tcPr>
            <w:tcW w:w="267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9A" w14:textId="77777777" w:rsidR="00CF2C82" w:rsidRDefault="009F54A0">
            <w:pPr>
              <w:shd w:val="clear" w:color="auto" w:fill="FFFFFF"/>
              <w:jc w:val="both"/>
              <w:rPr>
                <w:b/>
                <w:bCs/>
                <w:sz w:val="24"/>
                <w:szCs w:val="24"/>
              </w:rPr>
            </w:pPr>
            <w:r>
              <w:rPr>
                <w:b/>
                <w:bCs/>
                <w:sz w:val="24"/>
                <w:szCs w:val="24"/>
              </w:rPr>
              <w:t xml:space="preserve">Ley 708 de 2001, modifica el artículo 277° de la Ley 1955 de 2019 </w:t>
            </w:r>
          </w:p>
          <w:p w14:paraId="74C1D29B" w14:textId="77777777" w:rsidR="00CF2C82" w:rsidRDefault="009F54A0">
            <w:pPr>
              <w:jc w:val="both"/>
              <w:rPr>
                <w:b/>
                <w:bCs/>
                <w:sz w:val="24"/>
                <w:szCs w:val="24"/>
              </w:rPr>
            </w:pPr>
            <w:r>
              <w:rPr>
                <w:b/>
                <w:bCs/>
                <w:sz w:val="24"/>
                <w:szCs w:val="24"/>
              </w:rPr>
              <w:t xml:space="preserve"> </w:t>
            </w:r>
          </w:p>
        </w:tc>
        <w:tc>
          <w:tcPr>
            <w:tcW w:w="1740" w:type="dxa"/>
            <w:tcBorders>
              <w:bottom w:val="single" w:sz="8" w:space="0" w:color="000000"/>
              <w:right w:val="single" w:sz="8" w:space="0" w:color="000000"/>
            </w:tcBorders>
            <w:tcMar>
              <w:top w:w="0" w:type="dxa"/>
              <w:left w:w="100" w:type="dxa"/>
              <w:bottom w:w="0" w:type="dxa"/>
              <w:right w:w="100" w:type="dxa"/>
            </w:tcMar>
            <w:vAlign w:val="center"/>
          </w:tcPr>
          <w:p w14:paraId="74C1D29C" w14:textId="77777777" w:rsidR="00CF2C82" w:rsidRDefault="009F54A0">
            <w:pPr>
              <w:jc w:val="both"/>
              <w:rPr>
                <w:sz w:val="24"/>
                <w:szCs w:val="24"/>
              </w:rPr>
            </w:pPr>
            <w:r>
              <w:rPr>
                <w:sz w:val="24"/>
                <w:szCs w:val="24"/>
              </w:rPr>
              <w:t>Art. 14</w:t>
            </w:r>
          </w:p>
        </w:tc>
        <w:tc>
          <w:tcPr>
            <w:tcW w:w="4470" w:type="dxa"/>
            <w:tcBorders>
              <w:bottom w:val="single" w:sz="8" w:space="0" w:color="000000"/>
              <w:right w:val="single" w:sz="8" w:space="0" w:color="000000"/>
            </w:tcBorders>
            <w:tcMar>
              <w:top w:w="0" w:type="dxa"/>
              <w:left w:w="100" w:type="dxa"/>
              <w:bottom w:w="0" w:type="dxa"/>
              <w:right w:w="100" w:type="dxa"/>
            </w:tcMar>
            <w:vAlign w:val="center"/>
          </w:tcPr>
          <w:p w14:paraId="74C1D29D" w14:textId="77777777" w:rsidR="00CF2C82" w:rsidRDefault="009F54A0">
            <w:pPr>
              <w:jc w:val="both"/>
              <w:rPr>
                <w:sz w:val="24"/>
                <w:szCs w:val="24"/>
              </w:rPr>
            </w:pPr>
            <w:r>
              <w:rPr>
                <w:sz w:val="24"/>
                <w:szCs w:val="24"/>
              </w:rPr>
              <w:t>Establece el procedimiento de cesión a título gratuito o enajenación de dominio de bienes fiscales</w:t>
            </w:r>
          </w:p>
        </w:tc>
      </w:tr>
      <w:tr w:rsidR="00CF2C82" w14:paraId="74C1D2A2" w14:textId="77777777">
        <w:trPr>
          <w:trHeight w:val="567"/>
        </w:trPr>
        <w:tc>
          <w:tcPr>
            <w:tcW w:w="267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9F" w14:textId="77777777" w:rsidR="00CF2C82" w:rsidRDefault="009F54A0">
            <w:pPr>
              <w:shd w:val="clear" w:color="auto" w:fill="FFFFFF"/>
              <w:jc w:val="both"/>
              <w:rPr>
                <w:b/>
                <w:bCs/>
                <w:sz w:val="24"/>
                <w:szCs w:val="24"/>
              </w:rPr>
            </w:pPr>
            <w:r>
              <w:rPr>
                <w:b/>
                <w:bCs/>
                <w:sz w:val="24"/>
                <w:szCs w:val="24"/>
              </w:rPr>
              <w:t>Decreto 523 de 2021, expedido por el Ministerio de Vivienda, Ciudad y Territorio, modifica Decreto 1077 de 2015</w:t>
            </w:r>
          </w:p>
        </w:tc>
        <w:tc>
          <w:tcPr>
            <w:tcW w:w="1740" w:type="dxa"/>
            <w:tcBorders>
              <w:bottom w:val="single" w:sz="8" w:space="0" w:color="000000"/>
              <w:right w:val="single" w:sz="8" w:space="0" w:color="000000"/>
            </w:tcBorders>
            <w:tcMar>
              <w:top w:w="0" w:type="dxa"/>
              <w:left w:w="100" w:type="dxa"/>
              <w:bottom w:w="0" w:type="dxa"/>
              <w:right w:w="100" w:type="dxa"/>
            </w:tcMar>
            <w:vAlign w:val="center"/>
          </w:tcPr>
          <w:p w14:paraId="74C1D2A0" w14:textId="77777777" w:rsidR="00CF2C82" w:rsidRDefault="009F54A0">
            <w:pPr>
              <w:jc w:val="both"/>
              <w:rPr>
                <w:sz w:val="24"/>
                <w:szCs w:val="24"/>
              </w:rPr>
            </w:pPr>
            <w:r>
              <w:rPr>
                <w:sz w:val="24"/>
                <w:szCs w:val="24"/>
              </w:rPr>
              <w:t>Art. 1</w:t>
            </w:r>
          </w:p>
        </w:tc>
        <w:tc>
          <w:tcPr>
            <w:tcW w:w="4470" w:type="dxa"/>
            <w:tcBorders>
              <w:bottom w:val="single" w:sz="8" w:space="0" w:color="000000"/>
              <w:right w:val="single" w:sz="8" w:space="0" w:color="000000"/>
            </w:tcBorders>
            <w:tcMar>
              <w:top w:w="0" w:type="dxa"/>
              <w:left w:w="100" w:type="dxa"/>
              <w:bottom w:w="0" w:type="dxa"/>
              <w:right w:w="100" w:type="dxa"/>
            </w:tcMar>
            <w:vAlign w:val="center"/>
          </w:tcPr>
          <w:p w14:paraId="74C1D2A1" w14:textId="77777777" w:rsidR="00CF2C82" w:rsidRDefault="009F54A0">
            <w:pPr>
              <w:shd w:val="clear" w:color="auto" w:fill="FFFFFF"/>
              <w:jc w:val="both"/>
              <w:rPr>
                <w:sz w:val="24"/>
                <w:szCs w:val="24"/>
                <w:highlight w:val="white"/>
              </w:rPr>
            </w:pPr>
            <w:r>
              <w:rPr>
                <w:sz w:val="24"/>
                <w:szCs w:val="24"/>
              </w:rPr>
              <w:t>Reglamenta el artículo 277 de la Ley 1955 de 2019 y modifica el Decreto 1077 de 2015, en lo relacionado con la transferencia de bienes inmuebles fiscales a título gratuito.</w:t>
            </w:r>
          </w:p>
        </w:tc>
      </w:tr>
      <w:tr w:rsidR="00CF2C82" w14:paraId="74C1D2A6" w14:textId="77777777">
        <w:trPr>
          <w:trHeight w:val="567"/>
        </w:trPr>
        <w:tc>
          <w:tcPr>
            <w:tcW w:w="267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A3" w14:textId="77777777" w:rsidR="00CF2C82" w:rsidRDefault="009F54A0">
            <w:pPr>
              <w:jc w:val="both"/>
              <w:rPr>
                <w:b/>
                <w:bCs/>
                <w:sz w:val="24"/>
                <w:szCs w:val="24"/>
              </w:rPr>
            </w:pPr>
            <w:r>
              <w:rPr>
                <w:b/>
                <w:bCs/>
                <w:sz w:val="24"/>
                <w:szCs w:val="24"/>
              </w:rPr>
              <w:t>Ley 2044 de 2020</w:t>
            </w:r>
          </w:p>
        </w:tc>
        <w:tc>
          <w:tcPr>
            <w:tcW w:w="1740" w:type="dxa"/>
            <w:tcBorders>
              <w:bottom w:val="single" w:sz="8" w:space="0" w:color="000000"/>
              <w:right w:val="single" w:sz="8" w:space="0" w:color="000000"/>
            </w:tcBorders>
            <w:tcMar>
              <w:top w:w="0" w:type="dxa"/>
              <w:left w:w="100" w:type="dxa"/>
              <w:bottom w:w="0" w:type="dxa"/>
              <w:right w:w="100" w:type="dxa"/>
            </w:tcMar>
            <w:vAlign w:val="center"/>
          </w:tcPr>
          <w:p w14:paraId="74C1D2A4" w14:textId="77777777" w:rsidR="00CF2C82" w:rsidRDefault="009F54A0">
            <w:pPr>
              <w:jc w:val="both"/>
              <w:rPr>
                <w:sz w:val="24"/>
                <w:szCs w:val="24"/>
              </w:rPr>
            </w:pPr>
            <w:r>
              <w:rPr>
                <w:sz w:val="24"/>
                <w:szCs w:val="24"/>
              </w:rPr>
              <w:t>Art. 10 parágrafo</w:t>
            </w:r>
          </w:p>
        </w:tc>
        <w:tc>
          <w:tcPr>
            <w:tcW w:w="4470" w:type="dxa"/>
            <w:tcBorders>
              <w:bottom w:val="single" w:sz="8" w:space="0" w:color="000000"/>
              <w:right w:val="single" w:sz="8" w:space="0" w:color="000000"/>
            </w:tcBorders>
            <w:tcMar>
              <w:top w:w="0" w:type="dxa"/>
              <w:left w:w="100" w:type="dxa"/>
              <w:bottom w:w="0" w:type="dxa"/>
              <w:right w:w="100" w:type="dxa"/>
            </w:tcMar>
            <w:vAlign w:val="center"/>
          </w:tcPr>
          <w:p w14:paraId="74C1D2A5" w14:textId="77777777" w:rsidR="00CF2C82" w:rsidRDefault="009F54A0">
            <w:pPr>
              <w:shd w:val="clear" w:color="auto" w:fill="FFFFFF"/>
              <w:jc w:val="both"/>
              <w:rPr>
                <w:sz w:val="24"/>
                <w:szCs w:val="24"/>
                <w:highlight w:val="white"/>
              </w:rPr>
            </w:pPr>
            <w:r>
              <w:rPr>
                <w:sz w:val="24"/>
                <w:szCs w:val="24"/>
              </w:rPr>
              <w:t>Establece que en el acto administrativo mediante el cual se realiza la cesión a título gratuito se incluirá́ la mejora siempre y cuando previamente se encuentre reconocida e identificada en debida forma y la obligación de acatar la normatividad urbanística.</w:t>
            </w:r>
          </w:p>
        </w:tc>
      </w:tr>
      <w:tr w:rsidR="00CF2C82" w14:paraId="74C1D2AA" w14:textId="77777777">
        <w:trPr>
          <w:trHeight w:val="567"/>
        </w:trPr>
        <w:tc>
          <w:tcPr>
            <w:tcW w:w="267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A7" w14:textId="77777777" w:rsidR="00CF2C82" w:rsidRDefault="009F54A0">
            <w:pPr>
              <w:shd w:val="clear" w:color="auto" w:fill="FFFFFF"/>
              <w:jc w:val="both"/>
              <w:rPr>
                <w:b/>
                <w:bCs/>
                <w:sz w:val="24"/>
                <w:szCs w:val="24"/>
              </w:rPr>
            </w:pPr>
            <w:r>
              <w:rPr>
                <w:b/>
                <w:bCs/>
                <w:sz w:val="24"/>
                <w:szCs w:val="24"/>
              </w:rPr>
              <w:t>Ley 1437 de 2011. Código de Procedimiento Administrativo y de lo Contencioso Administrativo.</w:t>
            </w:r>
          </w:p>
        </w:tc>
        <w:tc>
          <w:tcPr>
            <w:tcW w:w="1740" w:type="dxa"/>
            <w:tcBorders>
              <w:bottom w:val="single" w:sz="8" w:space="0" w:color="000000"/>
              <w:right w:val="single" w:sz="8" w:space="0" w:color="000000"/>
            </w:tcBorders>
            <w:tcMar>
              <w:top w:w="0" w:type="dxa"/>
              <w:left w:w="100" w:type="dxa"/>
              <w:bottom w:w="0" w:type="dxa"/>
              <w:right w:w="100" w:type="dxa"/>
            </w:tcMar>
            <w:vAlign w:val="center"/>
          </w:tcPr>
          <w:p w14:paraId="74C1D2A8" w14:textId="77777777" w:rsidR="00CF2C82" w:rsidRDefault="009F54A0">
            <w:pPr>
              <w:jc w:val="both"/>
              <w:rPr>
                <w:sz w:val="24"/>
                <w:szCs w:val="24"/>
              </w:rPr>
            </w:pPr>
            <w:r>
              <w:rPr>
                <w:sz w:val="24"/>
                <w:szCs w:val="24"/>
              </w:rPr>
              <w:t>Art 67, y siguientes</w:t>
            </w:r>
          </w:p>
        </w:tc>
        <w:tc>
          <w:tcPr>
            <w:tcW w:w="4470" w:type="dxa"/>
            <w:tcBorders>
              <w:bottom w:val="single" w:sz="8" w:space="0" w:color="000000"/>
              <w:right w:val="single" w:sz="8" w:space="0" w:color="000000"/>
            </w:tcBorders>
            <w:tcMar>
              <w:top w:w="0" w:type="dxa"/>
              <w:left w:w="100" w:type="dxa"/>
              <w:bottom w:w="0" w:type="dxa"/>
              <w:right w:w="100" w:type="dxa"/>
            </w:tcMar>
            <w:vAlign w:val="center"/>
          </w:tcPr>
          <w:p w14:paraId="74C1D2A9" w14:textId="77777777" w:rsidR="00CF2C82" w:rsidRDefault="009F54A0">
            <w:pPr>
              <w:shd w:val="clear" w:color="auto" w:fill="FFFFFF"/>
              <w:jc w:val="both"/>
              <w:rPr>
                <w:sz w:val="24"/>
                <w:szCs w:val="24"/>
              </w:rPr>
            </w:pPr>
            <w:r>
              <w:rPr>
                <w:sz w:val="24"/>
                <w:szCs w:val="24"/>
              </w:rPr>
              <w:t>Formas de notificación de los actos administrativos</w:t>
            </w:r>
          </w:p>
        </w:tc>
      </w:tr>
    </w:tbl>
    <w:p w14:paraId="74C1D2AB" w14:textId="77777777" w:rsidR="00CF2C82" w:rsidRDefault="00CF2C82">
      <w:pPr>
        <w:rPr>
          <w:sz w:val="24"/>
          <w:szCs w:val="24"/>
        </w:rPr>
      </w:pPr>
    </w:p>
    <w:tbl>
      <w:tblPr>
        <w:tblStyle w:val="a5"/>
        <w:tblW w:w="886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20"/>
        <w:gridCol w:w="2055"/>
        <w:gridCol w:w="4290"/>
      </w:tblGrid>
      <w:tr w:rsidR="00CF2C82" w14:paraId="74C1D2AD" w14:textId="77777777">
        <w:trPr>
          <w:trHeight w:val="567"/>
        </w:trPr>
        <w:tc>
          <w:tcPr>
            <w:tcW w:w="8865"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vAlign w:val="center"/>
          </w:tcPr>
          <w:p w14:paraId="74C1D2AC" w14:textId="77777777" w:rsidR="00CF2C82" w:rsidRDefault="009F54A0">
            <w:pPr>
              <w:jc w:val="center"/>
              <w:rPr>
                <w:b/>
                <w:bCs/>
                <w:sz w:val="24"/>
                <w:szCs w:val="24"/>
              </w:rPr>
            </w:pPr>
            <w:r>
              <w:rPr>
                <w:b/>
                <w:bCs/>
                <w:sz w:val="24"/>
                <w:szCs w:val="24"/>
              </w:rPr>
              <w:t>Conceptos Jurídicos</w:t>
            </w:r>
          </w:p>
        </w:tc>
      </w:tr>
      <w:tr w:rsidR="00CF2C82" w14:paraId="74C1D2B1" w14:textId="77777777">
        <w:trPr>
          <w:trHeight w:val="567"/>
        </w:trPr>
        <w:tc>
          <w:tcPr>
            <w:tcW w:w="252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AE" w14:textId="77777777" w:rsidR="00CF2C82" w:rsidRDefault="009F54A0">
            <w:pPr>
              <w:jc w:val="both"/>
              <w:rPr>
                <w:b/>
                <w:bCs/>
                <w:sz w:val="24"/>
                <w:szCs w:val="24"/>
              </w:rPr>
            </w:pPr>
            <w:r>
              <w:rPr>
                <w:b/>
                <w:bCs/>
                <w:sz w:val="24"/>
                <w:szCs w:val="24"/>
              </w:rPr>
              <w:lastRenderedPageBreak/>
              <w:t>Número y Fecha</w:t>
            </w:r>
          </w:p>
        </w:tc>
        <w:tc>
          <w:tcPr>
            <w:tcW w:w="2055" w:type="dxa"/>
            <w:tcBorders>
              <w:bottom w:val="single" w:sz="8" w:space="0" w:color="000000"/>
              <w:right w:val="single" w:sz="8" w:space="0" w:color="000000"/>
            </w:tcBorders>
            <w:tcMar>
              <w:top w:w="0" w:type="dxa"/>
              <w:left w:w="100" w:type="dxa"/>
              <w:bottom w:w="0" w:type="dxa"/>
              <w:right w:w="100" w:type="dxa"/>
            </w:tcMar>
            <w:vAlign w:val="center"/>
          </w:tcPr>
          <w:p w14:paraId="74C1D2AF" w14:textId="77777777" w:rsidR="00CF2C82" w:rsidRDefault="009F54A0">
            <w:pPr>
              <w:jc w:val="both"/>
              <w:rPr>
                <w:b/>
                <w:bCs/>
                <w:sz w:val="24"/>
                <w:szCs w:val="24"/>
              </w:rPr>
            </w:pPr>
            <w:r>
              <w:rPr>
                <w:b/>
                <w:bCs/>
                <w:sz w:val="24"/>
                <w:szCs w:val="24"/>
              </w:rPr>
              <w:t>Entidad/Órgano Emisor</w:t>
            </w:r>
          </w:p>
        </w:tc>
        <w:tc>
          <w:tcPr>
            <w:tcW w:w="4290" w:type="dxa"/>
            <w:tcBorders>
              <w:bottom w:val="single" w:sz="8" w:space="0" w:color="000000"/>
              <w:right w:val="single" w:sz="8" w:space="0" w:color="000000"/>
            </w:tcBorders>
            <w:tcMar>
              <w:top w:w="0" w:type="dxa"/>
              <w:left w:w="100" w:type="dxa"/>
              <w:bottom w:w="0" w:type="dxa"/>
              <w:right w:w="100" w:type="dxa"/>
            </w:tcMar>
            <w:vAlign w:val="center"/>
          </w:tcPr>
          <w:p w14:paraId="74C1D2B0" w14:textId="77777777" w:rsidR="00CF2C82" w:rsidRDefault="009F54A0">
            <w:pPr>
              <w:jc w:val="both"/>
              <w:rPr>
                <w:b/>
                <w:bCs/>
                <w:sz w:val="24"/>
                <w:szCs w:val="24"/>
              </w:rPr>
            </w:pPr>
            <w:r>
              <w:rPr>
                <w:b/>
                <w:bCs/>
                <w:sz w:val="24"/>
                <w:szCs w:val="24"/>
              </w:rPr>
              <w:t>Contenido Principal</w:t>
            </w:r>
          </w:p>
        </w:tc>
      </w:tr>
      <w:tr w:rsidR="00CF2C82" w14:paraId="74C1D2B5" w14:textId="77777777">
        <w:trPr>
          <w:trHeight w:val="567"/>
        </w:trPr>
        <w:tc>
          <w:tcPr>
            <w:tcW w:w="252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B2" w14:textId="77777777" w:rsidR="00CF2C82" w:rsidRDefault="009F54A0">
            <w:pPr>
              <w:jc w:val="both"/>
              <w:rPr>
                <w:b/>
                <w:bCs/>
                <w:sz w:val="24"/>
                <w:szCs w:val="24"/>
              </w:rPr>
            </w:pPr>
            <w:r>
              <w:rPr>
                <w:b/>
                <w:bCs/>
                <w:sz w:val="24"/>
                <w:szCs w:val="24"/>
              </w:rPr>
              <w:t xml:space="preserve">Consulta – Ley 2044 de 2020 – saneamiento de predios Radicado - 2023ER0052750 del 26/04/2023 </w:t>
            </w:r>
          </w:p>
        </w:tc>
        <w:tc>
          <w:tcPr>
            <w:tcW w:w="2055" w:type="dxa"/>
            <w:tcBorders>
              <w:bottom w:val="single" w:sz="8" w:space="0" w:color="000000"/>
              <w:right w:val="single" w:sz="8" w:space="0" w:color="000000"/>
            </w:tcBorders>
            <w:tcMar>
              <w:top w:w="0" w:type="dxa"/>
              <w:left w:w="100" w:type="dxa"/>
              <w:bottom w:w="0" w:type="dxa"/>
              <w:right w:w="100" w:type="dxa"/>
            </w:tcMar>
            <w:vAlign w:val="center"/>
          </w:tcPr>
          <w:p w14:paraId="74C1D2B3" w14:textId="77777777" w:rsidR="00CF2C82" w:rsidRDefault="009F54A0">
            <w:pPr>
              <w:jc w:val="both"/>
              <w:rPr>
                <w:sz w:val="24"/>
                <w:szCs w:val="24"/>
              </w:rPr>
            </w:pPr>
            <w:r>
              <w:rPr>
                <w:sz w:val="24"/>
                <w:szCs w:val="24"/>
              </w:rPr>
              <w:t>Ministerio de Vivienda Ciudad y Territorio (MVCT)</w:t>
            </w:r>
          </w:p>
        </w:tc>
        <w:tc>
          <w:tcPr>
            <w:tcW w:w="4290" w:type="dxa"/>
            <w:tcBorders>
              <w:bottom w:val="single" w:sz="8" w:space="0" w:color="000000"/>
              <w:right w:val="single" w:sz="8" w:space="0" w:color="000000"/>
            </w:tcBorders>
            <w:tcMar>
              <w:top w:w="0" w:type="dxa"/>
              <w:left w:w="100" w:type="dxa"/>
              <w:bottom w:w="0" w:type="dxa"/>
              <w:right w:w="100" w:type="dxa"/>
            </w:tcMar>
            <w:vAlign w:val="center"/>
          </w:tcPr>
          <w:p w14:paraId="74C1D2B4" w14:textId="77777777" w:rsidR="00CF2C82" w:rsidRDefault="009F54A0">
            <w:pPr>
              <w:jc w:val="both"/>
              <w:rPr>
                <w:sz w:val="24"/>
                <w:szCs w:val="24"/>
                <w:highlight w:val="white"/>
              </w:rPr>
            </w:pPr>
            <w:r>
              <w:rPr>
                <w:sz w:val="24"/>
                <w:szCs w:val="24"/>
                <w:highlight w:val="white"/>
              </w:rPr>
              <w:t>Enajenación y cesión a título gratuito de un bien inmueble fiscal – Ley 2044 de 2020 – saneamiento de predios.</w:t>
            </w:r>
          </w:p>
        </w:tc>
      </w:tr>
      <w:tr w:rsidR="00CF2C82" w14:paraId="74C1D2B9" w14:textId="77777777">
        <w:trPr>
          <w:trHeight w:val="567"/>
        </w:trPr>
        <w:tc>
          <w:tcPr>
            <w:tcW w:w="252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B6" w14:textId="77777777" w:rsidR="00CF2C82" w:rsidRDefault="009F54A0">
            <w:pPr>
              <w:jc w:val="both"/>
              <w:rPr>
                <w:b/>
                <w:bCs/>
                <w:sz w:val="24"/>
                <w:szCs w:val="24"/>
              </w:rPr>
            </w:pPr>
            <w:r>
              <w:rPr>
                <w:b/>
                <w:bCs/>
                <w:sz w:val="24"/>
                <w:szCs w:val="24"/>
              </w:rPr>
              <w:t xml:space="preserve">Radicado 2023ER0088557 de fecha 11/07/2023 Oficina Asesora Jurídica del MVCT </w:t>
            </w:r>
          </w:p>
        </w:tc>
        <w:tc>
          <w:tcPr>
            <w:tcW w:w="2055" w:type="dxa"/>
            <w:tcBorders>
              <w:bottom w:val="single" w:sz="8" w:space="0" w:color="000000"/>
              <w:right w:val="single" w:sz="8" w:space="0" w:color="000000"/>
            </w:tcBorders>
            <w:tcMar>
              <w:top w:w="0" w:type="dxa"/>
              <w:left w:w="100" w:type="dxa"/>
              <w:bottom w:w="0" w:type="dxa"/>
              <w:right w:w="100" w:type="dxa"/>
            </w:tcMar>
            <w:vAlign w:val="center"/>
          </w:tcPr>
          <w:p w14:paraId="74C1D2B7" w14:textId="77777777" w:rsidR="00CF2C82" w:rsidRDefault="009F54A0">
            <w:pPr>
              <w:jc w:val="both"/>
              <w:rPr>
                <w:sz w:val="24"/>
                <w:szCs w:val="24"/>
              </w:rPr>
            </w:pPr>
            <w:r>
              <w:rPr>
                <w:sz w:val="24"/>
                <w:szCs w:val="24"/>
              </w:rPr>
              <w:t>Ministerio de Vivienda Ciudad y Territorio</w:t>
            </w:r>
          </w:p>
        </w:tc>
        <w:tc>
          <w:tcPr>
            <w:tcW w:w="4290" w:type="dxa"/>
            <w:tcBorders>
              <w:bottom w:val="single" w:sz="8" w:space="0" w:color="000000"/>
              <w:right w:val="single" w:sz="8" w:space="0" w:color="000000"/>
            </w:tcBorders>
            <w:tcMar>
              <w:top w:w="0" w:type="dxa"/>
              <w:left w:w="100" w:type="dxa"/>
              <w:bottom w:w="0" w:type="dxa"/>
              <w:right w:w="100" w:type="dxa"/>
            </w:tcMar>
            <w:vAlign w:val="center"/>
          </w:tcPr>
          <w:p w14:paraId="74C1D2B8" w14:textId="77777777" w:rsidR="00CF2C82" w:rsidRDefault="009F54A0">
            <w:pPr>
              <w:jc w:val="both"/>
              <w:rPr>
                <w:sz w:val="24"/>
                <w:szCs w:val="24"/>
              </w:rPr>
            </w:pPr>
            <w:r>
              <w:rPr>
                <w:sz w:val="24"/>
                <w:szCs w:val="24"/>
              </w:rPr>
              <w:t xml:space="preserve">Consulta – Prueba de la ocupación para trámite de cesión a título gratuito </w:t>
            </w:r>
          </w:p>
        </w:tc>
      </w:tr>
      <w:tr w:rsidR="00CF2C82" w14:paraId="74C1D2BD" w14:textId="77777777">
        <w:trPr>
          <w:trHeight w:val="567"/>
        </w:trPr>
        <w:tc>
          <w:tcPr>
            <w:tcW w:w="252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4C1D2BA" w14:textId="77777777" w:rsidR="00CF2C82" w:rsidRDefault="009F54A0">
            <w:pPr>
              <w:jc w:val="both"/>
              <w:rPr>
                <w:b/>
                <w:bCs/>
                <w:sz w:val="24"/>
                <w:szCs w:val="24"/>
              </w:rPr>
            </w:pPr>
            <w:r>
              <w:rPr>
                <w:b/>
                <w:bCs/>
                <w:sz w:val="24"/>
                <w:szCs w:val="24"/>
              </w:rPr>
              <w:t xml:space="preserve">Radicado 2025ER0067630 de fecha 31/05/2025 Recibido en esta Oficina Asesora Jurídica del MCVT </w:t>
            </w:r>
          </w:p>
        </w:tc>
        <w:tc>
          <w:tcPr>
            <w:tcW w:w="2055" w:type="dxa"/>
            <w:tcBorders>
              <w:bottom w:val="single" w:sz="8" w:space="0" w:color="000000"/>
              <w:right w:val="single" w:sz="8" w:space="0" w:color="000000"/>
            </w:tcBorders>
            <w:tcMar>
              <w:top w:w="0" w:type="dxa"/>
              <w:left w:w="100" w:type="dxa"/>
              <w:bottom w:w="0" w:type="dxa"/>
              <w:right w:w="100" w:type="dxa"/>
            </w:tcMar>
            <w:vAlign w:val="center"/>
          </w:tcPr>
          <w:p w14:paraId="74C1D2BB" w14:textId="77777777" w:rsidR="00CF2C82" w:rsidRDefault="009F54A0">
            <w:pPr>
              <w:jc w:val="both"/>
              <w:rPr>
                <w:sz w:val="24"/>
                <w:szCs w:val="24"/>
              </w:rPr>
            </w:pPr>
            <w:r>
              <w:rPr>
                <w:sz w:val="24"/>
                <w:szCs w:val="24"/>
              </w:rPr>
              <w:t>Ministerio de Vivienda Ciudad y Territorio</w:t>
            </w:r>
          </w:p>
        </w:tc>
        <w:tc>
          <w:tcPr>
            <w:tcW w:w="4290" w:type="dxa"/>
            <w:tcBorders>
              <w:bottom w:val="single" w:sz="8" w:space="0" w:color="000000"/>
              <w:right w:val="single" w:sz="8" w:space="0" w:color="000000"/>
            </w:tcBorders>
            <w:tcMar>
              <w:top w:w="0" w:type="dxa"/>
              <w:left w:w="100" w:type="dxa"/>
              <w:bottom w:w="0" w:type="dxa"/>
              <w:right w:w="100" w:type="dxa"/>
            </w:tcMar>
            <w:vAlign w:val="center"/>
          </w:tcPr>
          <w:p w14:paraId="74C1D2BC" w14:textId="77777777" w:rsidR="00CF2C82" w:rsidRDefault="009F54A0">
            <w:pPr>
              <w:jc w:val="both"/>
              <w:rPr>
                <w:sz w:val="24"/>
                <w:szCs w:val="24"/>
              </w:rPr>
            </w:pPr>
            <w:r>
              <w:rPr>
                <w:sz w:val="24"/>
                <w:szCs w:val="24"/>
              </w:rPr>
              <w:t>Consulta – Controversias en la cesión de bienes fiscales</w:t>
            </w:r>
          </w:p>
        </w:tc>
      </w:tr>
    </w:tbl>
    <w:p w14:paraId="74C1D2BE" w14:textId="77777777" w:rsidR="00CF2C82" w:rsidRDefault="009F54A0">
      <w:pPr>
        <w:jc w:val="center"/>
        <w:rPr>
          <w:sz w:val="24"/>
          <w:szCs w:val="24"/>
        </w:rPr>
      </w:pPr>
      <w:r>
        <w:rPr>
          <w:sz w:val="24"/>
          <w:szCs w:val="24"/>
        </w:rPr>
        <w:t>Fuente: Elaboración propia</w:t>
      </w:r>
    </w:p>
    <w:p w14:paraId="74C1D2BF" w14:textId="77777777" w:rsidR="00CF2C82" w:rsidRDefault="00CF2C82">
      <w:pPr>
        <w:jc w:val="center"/>
        <w:rPr>
          <w:sz w:val="24"/>
          <w:szCs w:val="24"/>
        </w:rPr>
      </w:pPr>
    </w:p>
    <w:p w14:paraId="74C1D2C0" w14:textId="77777777" w:rsidR="00CF2C82" w:rsidRDefault="00CF2C82">
      <w:pPr>
        <w:jc w:val="center"/>
        <w:rPr>
          <w:sz w:val="24"/>
          <w:szCs w:val="24"/>
        </w:rPr>
      </w:pPr>
    </w:p>
    <w:p w14:paraId="74C1D2C1" w14:textId="77777777" w:rsidR="00CF2C82" w:rsidRDefault="00CF2C82">
      <w:pPr>
        <w:jc w:val="center"/>
        <w:rPr>
          <w:sz w:val="24"/>
          <w:szCs w:val="24"/>
        </w:rPr>
      </w:pPr>
    </w:p>
    <w:p w14:paraId="74C1D2C2" w14:textId="77777777" w:rsidR="00CF2C82" w:rsidRDefault="00CF2C82">
      <w:pPr>
        <w:jc w:val="center"/>
        <w:rPr>
          <w:sz w:val="24"/>
          <w:szCs w:val="24"/>
        </w:rPr>
      </w:pPr>
    </w:p>
    <w:p w14:paraId="74C1D2C3" w14:textId="77777777" w:rsidR="00CF2C82" w:rsidRDefault="00CF2C82">
      <w:pPr>
        <w:jc w:val="center"/>
        <w:rPr>
          <w:sz w:val="24"/>
          <w:szCs w:val="24"/>
        </w:rPr>
      </w:pPr>
    </w:p>
    <w:p w14:paraId="74C1D2C4" w14:textId="77777777" w:rsidR="00CF2C82" w:rsidRDefault="00CF2C82">
      <w:pPr>
        <w:jc w:val="center"/>
        <w:rPr>
          <w:sz w:val="24"/>
          <w:szCs w:val="24"/>
        </w:rPr>
      </w:pPr>
    </w:p>
    <w:p w14:paraId="74C1D2C5" w14:textId="77777777" w:rsidR="00CF2C82" w:rsidRDefault="00CF2C82">
      <w:pPr>
        <w:jc w:val="center"/>
        <w:rPr>
          <w:sz w:val="24"/>
          <w:szCs w:val="24"/>
        </w:rPr>
      </w:pPr>
    </w:p>
    <w:p w14:paraId="74C1D2C6" w14:textId="77777777" w:rsidR="00CF2C82" w:rsidRDefault="00CF2C82">
      <w:pPr>
        <w:jc w:val="center"/>
        <w:rPr>
          <w:sz w:val="24"/>
          <w:szCs w:val="24"/>
        </w:rPr>
      </w:pPr>
    </w:p>
    <w:p w14:paraId="74C1D2C7" w14:textId="77777777" w:rsidR="00CF2C82" w:rsidRDefault="00CF2C82">
      <w:pPr>
        <w:jc w:val="center"/>
        <w:rPr>
          <w:sz w:val="24"/>
          <w:szCs w:val="24"/>
        </w:rPr>
      </w:pPr>
    </w:p>
    <w:p w14:paraId="74C1D2C8" w14:textId="77777777" w:rsidR="00CF2C82" w:rsidRDefault="00CF2C82">
      <w:pPr>
        <w:jc w:val="center"/>
        <w:rPr>
          <w:sz w:val="24"/>
          <w:szCs w:val="24"/>
        </w:rPr>
      </w:pPr>
    </w:p>
    <w:p w14:paraId="74C1D2C9" w14:textId="77777777" w:rsidR="00CF2C82" w:rsidRDefault="00CF2C82">
      <w:pPr>
        <w:jc w:val="center"/>
        <w:rPr>
          <w:sz w:val="24"/>
          <w:szCs w:val="24"/>
        </w:rPr>
      </w:pPr>
    </w:p>
    <w:p w14:paraId="74C1D2CA" w14:textId="77777777" w:rsidR="00CF2C82" w:rsidRDefault="00CF2C82">
      <w:pPr>
        <w:jc w:val="center"/>
        <w:rPr>
          <w:sz w:val="24"/>
          <w:szCs w:val="24"/>
        </w:rPr>
      </w:pPr>
    </w:p>
    <w:p w14:paraId="74C1D2CB" w14:textId="77777777" w:rsidR="00CF2C82" w:rsidRDefault="00CF2C82">
      <w:pPr>
        <w:jc w:val="center"/>
        <w:rPr>
          <w:sz w:val="24"/>
          <w:szCs w:val="24"/>
        </w:rPr>
      </w:pPr>
    </w:p>
    <w:p w14:paraId="74C1D2CC" w14:textId="77777777" w:rsidR="00CF2C82" w:rsidRDefault="00CF2C82">
      <w:pPr>
        <w:jc w:val="center"/>
        <w:rPr>
          <w:sz w:val="24"/>
          <w:szCs w:val="24"/>
        </w:rPr>
      </w:pPr>
    </w:p>
    <w:p w14:paraId="74C1D2CD" w14:textId="77777777" w:rsidR="00CF2C82" w:rsidRDefault="00CF2C82">
      <w:pPr>
        <w:jc w:val="center"/>
        <w:rPr>
          <w:sz w:val="24"/>
          <w:szCs w:val="24"/>
        </w:rPr>
      </w:pPr>
    </w:p>
    <w:p w14:paraId="74C1D2CE" w14:textId="77777777" w:rsidR="00CF2C82" w:rsidRDefault="00CF2C82">
      <w:pPr>
        <w:jc w:val="center"/>
        <w:rPr>
          <w:sz w:val="24"/>
          <w:szCs w:val="24"/>
        </w:rPr>
      </w:pPr>
    </w:p>
    <w:p w14:paraId="74C1D2CF" w14:textId="77777777" w:rsidR="00CF2C82" w:rsidRDefault="00CF2C82">
      <w:pPr>
        <w:jc w:val="center"/>
        <w:rPr>
          <w:sz w:val="24"/>
          <w:szCs w:val="24"/>
        </w:rPr>
      </w:pPr>
    </w:p>
    <w:p w14:paraId="74C1D2D0" w14:textId="77777777" w:rsidR="00CF2C82" w:rsidRDefault="00CF2C82">
      <w:pPr>
        <w:jc w:val="center"/>
        <w:rPr>
          <w:b/>
          <w:bCs/>
          <w:sz w:val="24"/>
          <w:szCs w:val="24"/>
        </w:rPr>
      </w:pPr>
    </w:p>
    <w:p w14:paraId="74C1D2D2" w14:textId="2BFE16D6" w:rsidR="00CF2C82" w:rsidRDefault="009F54A0">
      <w:pPr>
        <w:pStyle w:val="Ttulo2"/>
        <w:jc w:val="center"/>
        <w:rPr>
          <w:b/>
          <w:bCs/>
          <w:sz w:val="24"/>
          <w:szCs w:val="24"/>
        </w:rPr>
      </w:pPr>
      <w:bookmarkStart w:id="55" w:name="_Toc228956556"/>
      <w:r>
        <w:rPr>
          <w:b/>
          <w:bCs/>
          <w:sz w:val="24"/>
          <w:szCs w:val="24"/>
        </w:rPr>
        <w:lastRenderedPageBreak/>
        <w:t>A</w:t>
      </w:r>
      <w:r w:rsidR="006D085F">
        <w:rPr>
          <w:b/>
          <w:bCs/>
          <w:sz w:val="24"/>
          <w:szCs w:val="24"/>
        </w:rPr>
        <w:t xml:space="preserve">nexo </w:t>
      </w:r>
      <w:proofErr w:type="spellStart"/>
      <w:r w:rsidR="006D085F">
        <w:rPr>
          <w:b/>
          <w:bCs/>
          <w:sz w:val="24"/>
          <w:szCs w:val="24"/>
        </w:rPr>
        <w:t>N</w:t>
      </w:r>
      <w:r w:rsidR="00D25D92">
        <w:rPr>
          <w:b/>
          <w:bCs/>
          <w:sz w:val="24"/>
          <w:szCs w:val="24"/>
        </w:rPr>
        <w:t>°</w:t>
      </w:r>
      <w:proofErr w:type="spellEnd"/>
      <w:r>
        <w:rPr>
          <w:b/>
          <w:bCs/>
          <w:sz w:val="24"/>
          <w:szCs w:val="24"/>
        </w:rPr>
        <w:t xml:space="preserve"> 2. Modelo acto administrativo de cesión a título gratuito de bienes fiscales a particulares</w:t>
      </w:r>
      <w:bookmarkEnd w:id="55"/>
    </w:p>
    <w:p w14:paraId="74C1D2D3" w14:textId="1C7C7B3E" w:rsidR="00CF2C82" w:rsidRDefault="009231FE">
      <w:pPr>
        <w:jc w:val="center"/>
        <w:rPr>
          <w:b/>
          <w:bCs/>
          <w:sz w:val="24"/>
          <w:szCs w:val="24"/>
        </w:rPr>
      </w:pPr>
      <w:r w:rsidRPr="009231FE">
        <w:rPr>
          <w:b/>
          <w:bCs/>
          <w:noProof/>
          <w:sz w:val="24"/>
          <w:szCs w:val="24"/>
        </w:rPr>
        <w:drawing>
          <wp:inline distT="0" distB="0" distL="0" distR="0" wp14:anchorId="6E90C92B" wp14:editId="7D2E5465">
            <wp:extent cx="1437618" cy="1440000"/>
            <wp:effectExtent l="0" t="0" r="0" b="8255"/>
            <wp:docPr id="58867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7692" name=""/>
                    <pic:cNvPicPr/>
                  </pic:nvPicPr>
                  <pic:blipFill>
                    <a:blip r:embed="rId29"/>
                    <a:stretch>
                      <a:fillRect/>
                    </a:stretch>
                  </pic:blipFill>
                  <pic:spPr>
                    <a:xfrm>
                      <a:off x="0" y="0"/>
                      <a:ext cx="1437618" cy="1440000"/>
                    </a:xfrm>
                    <a:prstGeom prst="rect">
                      <a:avLst/>
                    </a:prstGeom>
                  </pic:spPr>
                </pic:pic>
              </a:graphicData>
            </a:graphic>
          </wp:inline>
        </w:drawing>
      </w:r>
    </w:p>
    <w:p w14:paraId="74C1D2D4" w14:textId="77777777" w:rsidR="00CF2C82" w:rsidRDefault="00CF2C82">
      <w:pPr>
        <w:jc w:val="center"/>
        <w:rPr>
          <w:b/>
          <w:bCs/>
          <w:sz w:val="24"/>
          <w:szCs w:val="24"/>
        </w:rPr>
      </w:pPr>
    </w:p>
    <w:p w14:paraId="74C1D2D5" w14:textId="05F08F9A" w:rsidR="00CF2C82" w:rsidRDefault="00CF2C82">
      <w:pPr>
        <w:spacing w:after="160" w:line="278" w:lineRule="auto"/>
        <w:rPr>
          <w:b/>
          <w:bCs/>
          <w:sz w:val="24"/>
          <w:szCs w:val="24"/>
        </w:rPr>
      </w:pPr>
    </w:p>
    <w:p w14:paraId="74C1D2D6" w14:textId="77777777" w:rsidR="00CF2C82" w:rsidRDefault="00CF2C82">
      <w:pPr>
        <w:jc w:val="center"/>
        <w:rPr>
          <w:b/>
          <w:bCs/>
          <w:sz w:val="24"/>
          <w:szCs w:val="24"/>
        </w:rPr>
      </w:pPr>
    </w:p>
    <w:p w14:paraId="74C1D2D7" w14:textId="77777777" w:rsidR="00CF2C82" w:rsidRDefault="00CF2C82">
      <w:pPr>
        <w:jc w:val="center"/>
        <w:rPr>
          <w:b/>
          <w:bCs/>
          <w:sz w:val="24"/>
          <w:szCs w:val="24"/>
        </w:rPr>
      </w:pPr>
    </w:p>
    <w:p w14:paraId="74C1D2D8" w14:textId="77777777" w:rsidR="00CF2C82" w:rsidRDefault="00CF2C82">
      <w:pPr>
        <w:jc w:val="center"/>
        <w:rPr>
          <w:b/>
          <w:bCs/>
          <w:sz w:val="24"/>
          <w:szCs w:val="24"/>
        </w:rPr>
      </w:pPr>
    </w:p>
    <w:p w14:paraId="74C1D2D9" w14:textId="77777777" w:rsidR="00CF2C82" w:rsidRDefault="00CF2C82">
      <w:pPr>
        <w:jc w:val="center"/>
        <w:rPr>
          <w:b/>
          <w:bCs/>
          <w:sz w:val="24"/>
          <w:szCs w:val="24"/>
        </w:rPr>
      </w:pPr>
    </w:p>
    <w:p w14:paraId="74C1D2DA" w14:textId="77777777" w:rsidR="00CF2C82" w:rsidRDefault="00CF2C82">
      <w:pPr>
        <w:jc w:val="center"/>
        <w:rPr>
          <w:b/>
          <w:bCs/>
          <w:sz w:val="24"/>
          <w:szCs w:val="24"/>
        </w:rPr>
      </w:pPr>
    </w:p>
    <w:p w14:paraId="74C1D2DB" w14:textId="77777777" w:rsidR="00CF2C82" w:rsidRDefault="00CF2C82">
      <w:pPr>
        <w:jc w:val="center"/>
        <w:rPr>
          <w:b/>
          <w:bCs/>
          <w:sz w:val="24"/>
          <w:szCs w:val="24"/>
        </w:rPr>
      </w:pPr>
    </w:p>
    <w:p w14:paraId="74C1D2DC" w14:textId="77777777" w:rsidR="00CF2C82" w:rsidRDefault="00CF2C82">
      <w:pPr>
        <w:jc w:val="center"/>
        <w:rPr>
          <w:b/>
          <w:bCs/>
          <w:sz w:val="24"/>
          <w:szCs w:val="24"/>
        </w:rPr>
      </w:pPr>
    </w:p>
    <w:p w14:paraId="74C1D2DD" w14:textId="77777777" w:rsidR="00CF2C82" w:rsidRDefault="00CF2C82">
      <w:pPr>
        <w:jc w:val="center"/>
        <w:rPr>
          <w:b/>
          <w:bCs/>
          <w:sz w:val="24"/>
          <w:szCs w:val="24"/>
        </w:rPr>
      </w:pPr>
    </w:p>
    <w:p w14:paraId="74C1D2DE" w14:textId="77777777" w:rsidR="00CF2C82" w:rsidRDefault="00CF2C82">
      <w:pPr>
        <w:jc w:val="center"/>
        <w:rPr>
          <w:b/>
          <w:bCs/>
          <w:sz w:val="24"/>
          <w:szCs w:val="24"/>
        </w:rPr>
      </w:pPr>
    </w:p>
    <w:p w14:paraId="74C1D2DF" w14:textId="77777777" w:rsidR="00CF2C82" w:rsidRDefault="00CF2C82">
      <w:pPr>
        <w:jc w:val="center"/>
        <w:rPr>
          <w:b/>
          <w:bCs/>
          <w:sz w:val="24"/>
          <w:szCs w:val="24"/>
        </w:rPr>
      </w:pPr>
    </w:p>
    <w:p w14:paraId="74C1D2E0" w14:textId="77777777" w:rsidR="00CF2C82" w:rsidRDefault="00CF2C82">
      <w:pPr>
        <w:jc w:val="center"/>
        <w:rPr>
          <w:b/>
          <w:bCs/>
          <w:sz w:val="24"/>
          <w:szCs w:val="24"/>
        </w:rPr>
      </w:pPr>
    </w:p>
    <w:p w14:paraId="74C1D2E1" w14:textId="77777777" w:rsidR="00CF2C82" w:rsidRDefault="00CF2C82">
      <w:pPr>
        <w:jc w:val="center"/>
        <w:rPr>
          <w:b/>
          <w:bCs/>
          <w:sz w:val="24"/>
          <w:szCs w:val="24"/>
        </w:rPr>
      </w:pPr>
    </w:p>
    <w:p w14:paraId="74C1D2E2" w14:textId="77777777" w:rsidR="00CF2C82" w:rsidRDefault="00CF2C82">
      <w:pPr>
        <w:jc w:val="center"/>
        <w:rPr>
          <w:b/>
          <w:bCs/>
          <w:sz w:val="24"/>
          <w:szCs w:val="24"/>
        </w:rPr>
      </w:pPr>
    </w:p>
    <w:p w14:paraId="74C1D2E3" w14:textId="77777777" w:rsidR="00CF2C82" w:rsidRDefault="00CF2C82">
      <w:pPr>
        <w:jc w:val="center"/>
        <w:rPr>
          <w:b/>
          <w:bCs/>
          <w:sz w:val="24"/>
          <w:szCs w:val="24"/>
        </w:rPr>
      </w:pPr>
    </w:p>
    <w:p w14:paraId="74C1D2E4" w14:textId="77777777" w:rsidR="00CF2C82" w:rsidRDefault="00CF2C82">
      <w:pPr>
        <w:jc w:val="center"/>
        <w:rPr>
          <w:b/>
          <w:bCs/>
          <w:sz w:val="24"/>
          <w:szCs w:val="24"/>
        </w:rPr>
      </w:pPr>
    </w:p>
    <w:p w14:paraId="74C1D2E5" w14:textId="77777777" w:rsidR="00CF2C82" w:rsidRDefault="00CF2C82">
      <w:pPr>
        <w:jc w:val="center"/>
        <w:rPr>
          <w:b/>
          <w:bCs/>
          <w:sz w:val="24"/>
          <w:szCs w:val="24"/>
        </w:rPr>
      </w:pPr>
    </w:p>
    <w:p w14:paraId="74C1D2E6" w14:textId="77777777" w:rsidR="00CF2C82" w:rsidRDefault="00CF2C82">
      <w:pPr>
        <w:rPr>
          <w:b/>
          <w:bCs/>
          <w:sz w:val="24"/>
          <w:szCs w:val="24"/>
        </w:rPr>
      </w:pPr>
    </w:p>
    <w:p w14:paraId="74C1D2E7" w14:textId="1D225BBC" w:rsidR="00CF2C82" w:rsidRDefault="009F54A0">
      <w:pPr>
        <w:pStyle w:val="Ttulo2"/>
        <w:jc w:val="center"/>
        <w:rPr>
          <w:b/>
          <w:bCs/>
          <w:sz w:val="24"/>
          <w:szCs w:val="24"/>
        </w:rPr>
      </w:pPr>
      <w:bookmarkStart w:id="56" w:name="_Toc228956557"/>
      <w:r>
        <w:rPr>
          <w:b/>
          <w:bCs/>
          <w:sz w:val="24"/>
          <w:szCs w:val="24"/>
        </w:rPr>
        <w:lastRenderedPageBreak/>
        <w:t>A</w:t>
      </w:r>
      <w:r w:rsidR="00140DBF">
        <w:rPr>
          <w:b/>
          <w:bCs/>
          <w:sz w:val="24"/>
          <w:szCs w:val="24"/>
        </w:rPr>
        <w:t xml:space="preserve">nexo </w:t>
      </w:r>
      <w:proofErr w:type="spellStart"/>
      <w:r w:rsidR="00140DBF">
        <w:rPr>
          <w:b/>
          <w:bCs/>
          <w:sz w:val="24"/>
          <w:szCs w:val="24"/>
        </w:rPr>
        <w:t>N</w:t>
      </w:r>
      <w:r w:rsidR="00D25D92">
        <w:rPr>
          <w:b/>
          <w:bCs/>
          <w:sz w:val="24"/>
          <w:szCs w:val="24"/>
        </w:rPr>
        <w:t>°</w:t>
      </w:r>
      <w:proofErr w:type="spellEnd"/>
      <w:r>
        <w:rPr>
          <w:b/>
          <w:bCs/>
          <w:sz w:val="24"/>
          <w:szCs w:val="24"/>
        </w:rPr>
        <w:t xml:space="preserve"> 3. Check </w:t>
      </w:r>
      <w:proofErr w:type="spellStart"/>
      <w:r>
        <w:rPr>
          <w:b/>
          <w:bCs/>
          <w:sz w:val="24"/>
          <w:szCs w:val="24"/>
        </w:rPr>
        <w:t>list</w:t>
      </w:r>
      <w:proofErr w:type="spellEnd"/>
      <w:r>
        <w:rPr>
          <w:b/>
          <w:bCs/>
          <w:sz w:val="24"/>
          <w:szCs w:val="24"/>
        </w:rPr>
        <w:t xml:space="preserve"> de verificación de requisitos previos</w:t>
      </w:r>
      <w:bookmarkEnd w:id="56"/>
    </w:p>
    <w:p w14:paraId="74C1D2E8" w14:textId="77777777" w:rsidR="00CF2C82" w:rsidRDefault="009F54A0">
      <w:pPr>
        <w:shd w:val="clear" w:color="auto" w:fill="FFFFFF"/>
        <w:ind w:left="566" w:hanging="360"/>
        <w:rPr>
          <w:b/>
          <w:bCs/>
          <w:sz w:val="24"/>
          <w:szCs w:val="24"/>
        </w:rPr>
      </w:pPr>
      <w:r>
        <w:rPr>
          <w:b/>
          <w:bCs/>
          <w:sz w:val="24"/>
          <w:szCs w:val="24"/>
        </w:rPr>
        <w:t xml:space="preserve"> </w:t>
      </w:r>
      <w:r>
        <w:rPr>
          <w:noProof/>
          <w:sz w:val="24"/>
          <w:szCs w:val="24"/>
        </w:rPr>
        <w:drawing>
          <wp:inline distT="114300" distB="114300" distL="114300" distR="114300" wp14:anchorId="74C1D316" wp14:editId="74C1D317">
            <wp:extent cx="5184630" cy="6268264"/>
            <wp:effectExtent l="0" t="0" r="0" b="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0"/>
                    <a:srcRect t="9791"/>
                    <a:stretch>
                      <a:fillRect/>
                    </a:stretch>
                  </pic:blipFill>
                  <pic:spPr>
                    <a:xfrm>
                      <a:off x="0" y="0"/>
                      <a:ext cx="5184630" cy="6268264"/>
                    </a:xfrm>
                    <a:prstGeom prst="rect">
                      <a:avLst/>
                    </a:prstGeom>
                    <a:ln/>
                  </pic:spPr>
                </pic:pic>
              </a:graphicData>
            </a:graphic>
          </wp:inline>
        </w:drawing>
      </w:r>
    </w:p>
    <w:p w14:paraId="74C1D2E9" w14:textId="025B2E84" w:rsidR="00CF2C82" w:rsidRDefault="00CF2C82">
      <w:pPr>
        <w:jc w:val="center"/>
        <w:rPr>
          <w:b/>
          <w:bCs/>
          <w:sz w:val="24"/>
          <w:szCs w:val="24"/>
        </w:rPr>
      </w:pPr>
    </w:p>
    <w:p w14:paraId="74C1D2EA" w14:textId="4A5F13FF" w:rsidR="00CF2C82" w:rsidRDefault="00CF2C82">
      <w:pPr>
        <w:rPr>
          <w:b/>
          <w:bCs/>
          <w:sz w:val="24"/>
          <w:szCs w:val="24"/>
        </w:rPr>
      </w:pPr>
    </w:p>
    <w:p w14:paraId="74C1D2EB" w14:textId="10F8CF7E" w:rsidR="00CF2C82" w:rsidRDefault="00CF2C82">
      <w:pPr>
        <w:jc w:val="center"/>
        <w:rPr>
          <w:b/>
          <w:bCs/>
          <w:sz w:val="24"/>
          <w:szCs w:val="24"/>
        </w:rPr>
      </w:pPr>
    </w:p>
    <w:p w14:paraId="74C1D2EC" w14:textId="3B359097" w:rsidR="00CF2C82" w:rsidRDefault="00CF2C82">
      <w:pPr>
        <w:pStyle w:val="Ttulo2"/>
        <w:jc w:val="center"/>
        <w:rPr>
          <w:b/>
          <w:bCs/>
          <w:sz w:val="24"/>
          <w:szCs w:val="24"/>
        </w:rPr>
      </w:pPr>
    </w:p>
    <w:p w14:paraId="74C1D2ED" w14:textId="6D1A8E9E" w:rsidR="00CF2C82" w:rsidRDefault="009F54A0" w:rsidP="001B67C3">
      <w:pPr>
        <w:pStyle w:val="Ttulo2"/>
        <w:jc w:val="center"/>
        <w:rPr>
          <w:b/>
          <w:bCs/>
          <w:sz w:val="24"/>
          <w:szCs w:val="24"/>
        </w:rPr>
      </w:pPr>
      <w:bookmarkStart w:id="57" w:name="_Toc228956558"/>
      <w:r>
        <w:rPr>
          <w:b/>
          <w:bCs/>
          <w:sz w:val="24"/>
          <w:szCs w:val="24"/>
        </w:rPr>
        <w:t>A</w:t>
      </w:r>
      <w:r w:rsidR="00337A87">
        <w:rPr>
          <w:b/>
          <w:bCs/>
          <w:sz w:val="24"/>
          <w:szCs w:val="24"/>
        </w:rPr>
        <w:t xml:space="preserve">nexo </w:t>
      </w:r>
      <w:proofErr w:type="spellStart"/>
      <w:r w:rsidR="00337A87">
        <w:rPr>
          <w:b/>
          <w:bCs/>
          <w:sz w:val="24"/>
          <w:szCs w:val="24"/>
        </w:rPr>
        <w:t>N</w:t>
      </w:r>
      <w:r w:rsidR="00D25D92">
        <w:rPr>
          <w:b/>
          <w:bCs/>
          <w:sz w:val="24"/>
          <w:szCs w:val="24"/>
        </w:rPr>
        <w:t>°</w:t>
      </w:r>
      <w:proofErr w:type="spellEnd"/>
      <w:r>
        <w:rPr>
          <w:b/>
          <w:bCs/>
          <w:sz w:val="24"/>
          <w:szCs w:val="24"/>
        </w:rPr>
        <w:t xml:space="preserve"> 4. Infografía General</w:t>
      </w:r>
      <w:bookmarkEnd w:id="57"/>
    </w:p>
    <w:p w14:paraId="74C1D2EF" w14:textId="77777777" w:rsidR="00CF2C82" w:rsidRDefault="00CF2C82">
      <w:pPr>
        <w:jc w:val="center"/>
        <w:rPr>
          <w:b/>
          <w:bCs/>
          <w:sz w:val="24"/>
          <w:szCs w:val="24"/>
        </w:rPr>
      </w:pPr>
    </w:p>
    <w:p w14:paraId="44EA303F" w14:textId="77777777" w:rsidR="008A68AB" w:rsidRDefault="009F54A0" w:rsidP="00F406BB">
      <w:pPr>
        <w:ind w:hanging="708"/>
        <w:jc w:val="center"/>
        <w:rPr>
          <w:b/>
          <w:bCs/>
          <w:sz w:val="18"/>
          <w:szCs w:val="18"/>
        </w:rPr>
        <w:sectPr w:rsidR="008A68AB">
          <w:pgSz w:w="11909" w:h="16834"/>
          <w:pgMar w:top="1440" w:right="1440" w:bottom="1440" w:left="1417" w:header="720" w:footer="720" w:gutter="0"/>
          <w:cols w:space="720"/>
        </w:sectPr>
      </w:pPr>
      <w:r>
        <w:rPr>
          <w:b/>
          <w:bCs/>
          <w:noProof/>
          <w:sz w:val="24"/>
          <w:szCs w:val="24"/>
        </w:rPr>
        <w:drawing>
          <wp:inline distT="114300" distB="114300" distL="114300" distR="114300" wp14:anchorId="74C1D318" wp14:editId="74C1D319">
            <wp:extent cx="6612821" cy="3699202"/>
            <wp:effectExtent l="0" t="0" r="0" b="0"/>
            <wp:docPr id="1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31"/>
                    <a:srcRect/>
                    <a:stretch>
                      <a:fillRect/>
                    </a:stretch>
                  </pic:blipFill>
                  <pic:spPr>
                    <a:xfrm>
                      <a:off x="0" y="0"/>
                      <a:ext cx="6612821" cy="3699202"/>
                    </a:xfrm>
                    <a:prstGeom prst="rect">
                      <a:avLst/>
                    </a:prstGeom>
                    <a:ln/>
                  </pic:spPr>
                </pic:pic>
              </a:graphicData>
            </a:graphic>
          </wp:inline>
        </w:drawing>
      </w:r>
    </w:p>
    <w:p w14:paraId="6749A957" w14:textId="5F262C79" w:rsidR="008A68AB" w:rsidRPr="00BA5202" w:rsidRDefault="008A68AB" w:rsidP="00C04ECD">
      <w:pPr>
        <w:pStyle w:val="Ttulo2"/>
        <w:jc w:val="center"/>
        <w:rPr>
          <w:b/>
          <w:bCs/>
          <w:sz w:val="24"/>
          <w:szCs w:val="24"/>
        </w:rPr>
      </w:pPr>
      <w:bookmarkStart w:id="58" w:name="_Toc228956559"/>
      <w:r w:rsidRPr="00BA5202">
        <w:rPr>
          <w:b/>
          <w:bCs/>
          <w:sz w:val="24"/>
          <w:szCs w:val="24"/>
        </w:rPr>
        <w:lastRenderedPageBreak/>
        <w:t xml:space="preserve">Anexo </w:t>
      </w:r>
      <w:proofErr w:type="spellStart"/>
      <w:r w:rsidRPr="00BA5202">
        <w:rPr>
          <w:b/>
          <w:bCs/>
          <w:sz w:val="24"/>
          <w:szCs w:val="24"/>
        </w:rPr>
        <w:t>N°</w:t>
      </w:r>
      <w:proofErr w:type="spellEnd"/>
      <w:r w:rsidRPr="00BA5202">
        <w:rPr>
          <w:b/>
          <w:bCs/>
          <w:sz w:val="24"/>
          <w:szCs w:val="24"/>
        </w:rPr>
        <w:t xml:space="preserve"> 5. </w:t>
      </w:r>
      <w:r w:rsidR="006847A7" w:rsidRPr="00BA5202">
        <w:rPr>
          <w:b/>
          <w:bCs/>
          <w:sz w:val="24"/>
          <w:szCs w:val="24"/>
        </w:rPr>
        <w:t>–</w:t>
      </w:r>
      <w:r w:rsidRPr="00BA5202">
        <w:rPr>
          <w:b/>
          <w:bCs/>
          <w:sz w:val="24"/>
          <w:szCs w:val="24"/>
        </w:rPr>
        <w:t xml:space="preserve"> </w:t>
      </w:r>
      <w:r w:rsidR="006847A7" w:rsidRPr="00BA5202">
        <w:rPr>
          <w:b/>
          <w:bCs/>
          <w:sz w:val="24"/>
          <w:szCs w:val="24"/>
        </w:rPr>
        <w:t>Modelo estudio de títulos</w:t>
      </w:r>
      <w:bookmarkEnd w:id="58"/>
    </w:p>
    <w:p w14:paraId="0FF26140" w14:textId="77777777" w:rsidR="008A68AB" w:rsidRDefault="008A68AB" w:rsidP="008A68AB">
      <w:pPr>
        <w:jc w:val="center"/>
        <w:rPr>
          <w:b/>
          <w:bCs/>
          <w:sz w:val="24"/>
          <w:szCs w:val="24"/>
        </w:rPr>
      </w:pPr>
    </w:p>
    <w:p w14:paraId="60898447" w14:textId="77777777" w:rsidR="008A68AB" w:rsidRDefault="008A68AB" w:rsidP="008A68AB">
      <w:pPr>
        <w:jc w:val="both"/>
        <w:rPr>
          <w:sz w:val="24"/>
          <w:szCs w:val="24"/>
        </w:rPr>
      </w:pPr>
      <w:r>
        <w:rPr>
          <w:sz w:val="24"/>
          <w:szCs w:val="24"/>
        </w:rPr>
        <w:t>Para poder conocer la naturaleza jurídica del bien que se analiza es necesario realizar el estudio de títulos de acuerdo con las orientaciones que se pueden encontrar en la plantilla ubicada en el siguiente código.</w:t>
      </w:r>
    </w:p>
    <w:p w14:paraId="74C1D2F9" w14:textId="0BF6F662" w:rsidR="00CF2C82" w:rsidRDefault="002D16EC" w:rsidP="00F406BB">
      <w:pPr>
        <w:ind w:hanging="708"/>
        <w:jc w:val="center"/>
        <w:rPr>
          <w:b/>
          <w:bCs/>
          <w:sz w:val="18"/>
          <w:szCs w:val="18"/>
        </w:rPr>
      </w:pPr>
      <w:r w:rsidRPr="002D16EC">
        <w:rPr>
          <w:b/>
          <w:bCs/>
          <w:noProof/>
          <w:sz w:val="18"/>
          <w:szCs w:val="18"/>
        </w:rPr>
        <w:drawing>
          <wp:inline distT="0" distB="0" distL="0" distR="0" wp14:anchorId="1C56D4C9" wp14:editId="06E73539">
            <wp:extent cx="1442390" cy="1440000"/>
            <wp:effectExtent l="0" t="0" r="5715" b="8255"/>
            <wp:docPr id="19114013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401310" name=""/>
                    <pic:cNvPicPr/>
                  </pic:nvPicPr>
                  <pic:blipFill>
                    <a:blip r:embed="rId32"/>
                    <a:stretch>
                      <a:fillRect/>
                    </a:stretch>
                  </pic:blipFill>
                  <pic:spPr>
                    <a:xfrm>
                      <a:off x="0" y="0"/>
                      <a:ext cx="1442390" cy="1440000"/>
                    </a:xfrm>
                    <a:prstGeom prst="rect">
                      <a:avLst/>
                    </a:prstGeom>
                  </pic:spPr>
                </pic:pic>
              </a:graphicData>
            </a:graphic>
          </wp:inline>
        </w:drawing>
      </w:r>
    </w:p>
    <w:sectPr w:rsidR="00CF2C82">
      <w:pgSz w:w="11909" w:h="16834"/>
      <w:pgMar w:top="1440" w:right="1440" w:bottom="144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C58A6" w14:textId="77777777" w:rsidR="004E6000" w:rsidRDefault="004E6000">
      <w:pPr>
        <w:spacing w:line="240" w:lineRule="auto"/>
      </w:pPr>
      <w:r>
        <w:separator/>
      </w:r>
    </w:p>
  </w:endnote>
  <w:endnote w:type="continuationSeparator" w:id="0">
    <w:p w14:paraId="6B79F47D" w14:textId="77777777" w:rsidR="004E6000" w:rsidRDefault="004E60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80911FD6-C6FC-48C2-957E-5ED06AF8998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6F24A1A-70F9-426A-97D3-669B55E2EE23}"/>
  </w:font>
  <w:font w:name="Aptos">
    <w:charset w:val="00"/>
    <w:family w:val="swiss"/>
    <w:pitch w:val="variable"/>
    <w:sig w:usb0="20000287" w:usb1="00000003" w:usb2="00000000" w:usb3="00000000" w:csb0="0000019F" w:csb1="00000000"/>
    <w:embedRegular r:id="rId3" w:fontKey="{6AE80063-C081-43B2-ADB2-358C50B43873}"/>
    <w:embedBold r:id="rId4" w:fontKey="{9E5B9EDD-E9CB-4D3C-97DA-5B46C511680C}"/>
  </w:font>
  <w:font w:name="Cambria">
    <w:panose1 w:val="02040503050406030204"/>
    <w:charset w:val="00"/>
    <w:family w:val="roman"/>
    <w:pitch w:val="variable"/>
    <w:sig w:usb0="E00006FF" w:usb1="420024FF" w:usb2="02000000" w:usb3="00000000" w:csb0="0000019F" w:csb1="00000000"/>
    <w:embedRegular r:id="rId5" w:fontKey="{4DDC7DE1-5547-4478-BBC6-4077D66E64B1}"/>
    <w:embedBoldItalic r:id="rId6" w:fontKey="{A826BC02-D224-426F-8C7B-CB22D0AD17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324" w14:textId="77777777" w:rsidR="00CF2C82" w:rsidRDefault="009F54A0">
    <w:pPr>
      <w:pBdr>
        <w:top w:val="nil"/>
        <w:left w:val="nil"/>
        <w:bottom w:val="nil"/>
        <w:right w:val="nil"/>
        <w:between w:val="nil"/>
      </w:pBdr>
      <w:tabs>
        <w:tab w:val="center" w:pos="4419"/>
        <w:tab w:val="right" w:pos="8838"/>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4C1D325" w14:textId="77777777" w:rsidR="00CF2C82" w:rsidRDefault="00CF2C82">
    <w:pPr>
      <w:pBdr>
        <w:top w:val="nil"/>
        <w:left w:val="nil"/>
        <w:bottom w:val="nil"/>
        <w:right w:val="nil"/>
        <w:between w:val="nil"/>
      </w:pBdr>
      <w:tabs>
        <w:tab w:val="center" w:pos="4419"/>
        <w:tab w:val="right" w:pos="8838"/>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326" w14:textId="2B4EB0D7" w:rsidR="00CF2C82" w:rsidRDefault="009F54A0">
    <w:pPr>
      <w:pBdr>
        <w:top w:val="nil"/>
        <w:left w:val="nil"/>
        <w:bottom w:val="nil"/>
        <w:right w:val="nil"/>
        <w:between w:val="nil"/>
      </w:pBdr>
      <w:tabs>
        <w:tab w:val="center" w:pos="4419"/>
        <w:tab w:val="right" w:pos="88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B13295">
      <w:rPr>
        <w:noProof/>
        <w:color w:val="000000"/>
      </w:rPr>
      <w:t>1</w:t>
    </w:r>
    <w:r>
      <w:rPr>
        <w:color w:val="000000"/>
      </w:rPr>
      <w:fldChar w:fldCharType="end"/>
    </w:r>
  </w:p>
  <w:p w14:paraId="74C1D327" w14:textId="77777777" w:rsidR="00CF2C82" w:rsidRDefault="00CF2C82">
    <w:pPr>
      <w:pBdr>
        <w:top w:val="nil"/>
        <w:left w:val="nil"/>
        <w:bottom w:val="nil"/>
        <w:right w:val="nil"/>
        <w:between w:val="nil"/>
      </w:pBdr>
      <w:tabs>
        <w:tab w:val="center" w:pos="4419"/>
        <w:tab w:val="right" w:pos="8838"/>
      </w:tabs>
      <w:spacing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329" w14:textId="77777777" w:rsidR="00CF2C82" w:rsidRDefault="00CF2C82">
    <w:pPr>
      <w:pBdr>
        <w:top w:val="nil"/>
        <w:left w:val="nil"/>
        <w:bottom w:val="nil"/>
        <w:right w:val="nil"/>
        <w:between w:val="nil"/>
      </w:pBdr>
      <w:tabs>
        <w:tab w:val="center" w:pos="4419"/>
        <w:tab w:val="right" w:pos="88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16CC4" w14:textId="77777777" w:rsidR="004E6000" w:rsidRDefault="004E6000">
      <w:pPr>
        <w:spacing w:line="240" w:lineRule="auto"/>
      </w:pPr>
      <w:r>
        <w:separator/>
      </w:r>
    </w:p>
  </w:footnote>
  <w:footnote w:type="continuationSeparator" w:id="0">
    <w:p w14:paraId="0188F88F" w14:textId="77777777" w:rsidR="004E6000" w:rsidRDefault="004E6000">
      <w:pPr>
        <w:spacing w:line="240" w:lineRule="auto"/>
      </w:pPr>
      <w:r>
        <w:continuationSeparator/>
      </w:r>
    </w:p>
  </w:footnote>
  <w:footnote w:id="1">
    <w:p w14:paraId="74C1D32C" w14:textId="77777777" w:rsidR="00CF2C82" w:rsidRDefault="009F54A0">
      <w:pPr>
        <w:spacing w:line="240" w:lineRule="auto"/>
        <w:rPr>
          <w:sz w:val="20"/>
          <w:szCs w:val="20"/>
        </w:rPr>
      </w:pPr>
      <w:r>
        <w:rPr>
          <w:vertAlign w:val="superscript"/>
        </w:rPr>
        <w:footnoteRef/>
      </w:r>
      <w:r>
        <w:rPr>
          <w:sz w:val="20"/>
          <w:szCs w:val="20"/>
        </w:rPr>
        <w:t xml:space="preserve"> De acuerdo con las capacidades del municipio puede utilizar base de datos alfanumérica o geográfica.</w:t>
      </w:r>
    </w:p>
  </w:footnote>
  <w:footnote w:id="2">
    <w:p w14:paraId="74C1D32D" w14:textId="77777777" w:rsidR="00CF2C82" w:rsidRDefault="009F54A0">
      <w:pPr>
        <w:jc w:val="both"/>
        <w:rPr>
          <w:sz w:val="14"/>
          <w:szCs w:val="14"/>
        </w:rPr>
      </w:pPr>
      <w:r>
        <w:rPr>
          <w:vertAlign w:val="superscript"/>
        </w:rPr>
        <w:footnoteRef/>
      </w:r>
      <w:r>
        <w:rPr>
          <w:sz w:val="20"/>
          <w:szCs w:val="20"/>
        </w:rPr>
        <w:t xml:space="preserve"> </w:t>
      </w:r>
      <w:r>
        <w:rPr>
          <w:sz w:val="16"/>
          <w:szCs w:val="16"/>
        </w:rPr>
        <w:t>El parágrafo del artículo 2.1.2.2.2.8 Decreto 1077 de 2015 modificado parcialmente por el Decreto 523 de 2021 hace referencia a: “Comunicación de la actuación administrativa a terceros”, adicionado al Decreto 1077 de 2015 por el Decreto 523 de 2021, “Por el cual se reglamenta la cesión a título gratuito de bienes fiscales destinados a vivienda de interés social”.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31A" w14:textId="77777777" w:rsidR="00CF2C82" w:rsidRDefault="00CF2C82">
    <w:pPr>
      <w:pBdr>
        <w:top w:val="nil"/>
        <w:left w:val="nil"/>
        <w:bottom w:val="nil"/>
        <w:right w:val="nil"/>
        <w:between w:val="nil"/>
      </w:pBdr>
      <w:tabs>
        <w:tab w:val="center" w:pos="4419"/>
        <w:tab w:val="right" w:pos="8838"/>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31B" w14:textId="77777777" w:rsidR="00CF2C82" w:rsidRDefault="009F54A0">
    <w:pPr>
      <w:pBdr>
        <w:top w:val="nil"/>
        <w:left w:val="nil"/>
        <w:bottom w:val="nil"/>
        <w:right w:val="nil"/>
        <w:between w:val="nil"/>
      </w:pBdr>
      <w:tabs>
        <w:tab w:val="center" w:pos="4419"/>
        <w:tab w:val="right" w:pos="8838"/>
      </w:tabs>
      <w:spacing w:line="240" w:lineRule="auto"/>
      <w:rPr>
        <w:rFonts w:ascii="Calibri" w:eastAsia="Calibri" w:hAnsi="Calibri" w:cs="Calibri"/>
      </w:rPr>
    </w:pPr>
    <w:r>
      <w:rPr>
        <w:rFonts w:ascii="Calibri" w:eastAsia="Calibri" w:hAnsi="Calibri" w:cs="Calibri"/>
      </w:rPr>
      <w:t xml:space="preserve"> </w:t>
    </w:r>
  </w:p>
  <w:tbl>
    <w:tblPr>
      <w:tblStyle w:val="a6"/>
      <w:tblW w:w="88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30"/>
      <w:gridCol w:w="4905"/>
      <w:gridCol w:w="1785"/>
    </w:tblGrid>
    <w:tr w:rsidR="00CF2C82" w14:paraId="74C1D322" w14:textId="77777777">
      <w:trPr>
        <w:trHeight w:val="1140"/>
      </w:trPr>
      <w:tc>
        <w:tcPr>
          <w:tcW w:w="2130" w:type="dxa"/>
          <w:tcBorders>
            <w:top w:val="single" w:sz="8" w:space="0" w:color="BDD7EE"/>
            <w:left w:val="single" w:sz="8" w:space="0" w:color="BDD7EE"/>
            <w:bottom w:val="single" w:sz="8" w:space="0" w:color="BDD7EE"/>
            <w:right w:val="single" w:sz="8" w:space="0" w:color="BDD7EE"/>
          </w:tcBorders>
          <w:tcMar>
            <w:top w:w="0" w:type="dxa"/>
            <w:left w:w="100" w:type="dxa"/>
            <w:bottom w:w="0" w:type="dxa"/>
            <w:right w:w="100" w:type="dxa"/>
          </w:tcMar>
        </w:tcPr>
        <w:p w14:paraId="74C1D31C" w14:textId="77777777" w:rsidR="00CF2C82" w:rsidRDefault="009F54A0">
          <w:pPr>
            <w:spacing w:after="160" w:line="278" w:lineRule="auto"/>
            <w:rPr>
              <w:rFonts w:ascii="Aptos" w:eastAsia="Aptos" w:hAnsi="Aptos" w:cs="Aptos"/>
              <w:sz w:val="24"/>
              <w:szCs w:val="24"/>
            </w:rPr>
          </w:pPr>
          <w:r>
            <w:rPr>
              <w:rFonts w:ascii="Aptos" w:eastAsia="Aptos" w:hAnsi="Aptos" w:cs="Aptos"/>
              <w:noProof/>
              <w:sz w:val="24"/>
              <w:szCs w:val="24"/>
            </w:rPr>
            <w:drawing>
              <wp:inline distT="114300" distB="114300" distL="114300" distR="114300" wp14:anchorId="74C1D32A" wp14:editId="74C1D32B">
                <wp:extent cx="1219200" cy="698500"/>
                <wp:effectExtent l="0" t="0" r="0" b="0"/>
                <wp:docPr id="142447648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19200" cy="698500"/>
                        </a:xfrm>
                        <a:prstGeom prst="rect">
                          <a:avLst/>
                        </a:prstGeom>
                        <a:ln/>
                      </pic:spPr>
                    </pic:pic>
                  </a:graphicData>
                </a:graphic>
              </wp:inline>
            </w:drawing>
          </w:r>
        </w:p>
      </w:tc>
      <w:tc>
        <w:tcPr>
          <w:tcW w:w="4905" w:type="dxa"/>
          <w:tcBorders>
            <w:top w:val="single" w:sz="8" w:space="0" w:color="BDD7EE"/>
            <w:bottom w:val="single" w:sz="8" w:space="0" w:color="BDD7EE"/>
            <w:right w:val="single" w:sz="8" w:space="0" w:color="BDD7EE"/>
          </w:tcBorders>
          <w:tcMar>
            <w:top w:w="0" w:type="dxa"/>
            <w:left w:w="100" w:type="dxa"/>
            <w:bottom w:w="0" w:type="dxa"/>
            <w:right w:w="100" w:type="dxa"/>
          </w:tcMar>
        </w:tcPr>
        <w:p w14:paraId="74C1D31D" w14:textId="77777777" w:rsidR="00CF2C82" w:rsidRDefault="009F54A0">
          <w:pPr>
            <w:spacing w:after="160" w:line="252" w:lineRule="auto"/>
            <w:jc w:val="center"/>
            <w:rPr>
              <w:rFonts w:ascii="Calibri" w:eastAsia="Calibri" w:hAnsi="Calibri" w:cs="Calibri"/>
              <w:color w:val="4472C4"/>
              <w:sz w:val="28"/>
              <w:szCs w:val="28"/>
            </w:rPr>
          </w:pPr>
          <w:r>
            <w:rPr>
              <w:rFonts w:ascii="Calibri" w:eastAsia="Calibri" w:hAnsi="Calibri" w:cs="Calibri"/>
              <w:color w:val="4472C4"/>
              <w:sz w:val="28"/>
              <w:szCs w:val="28"/>
            </w:rPr>
            <w:t>Guía</w:t>
          </w:r>
        </w:p>
        <w:p w14:paraId="74C1D31E" w14:textId="77777777" w:rsidR="00CF2C82" w:rsidRDefault="009F54A0">
          <w:pPr>
            <w:pStyle w:val="Ttulo1"/>
            <w:spacing w:before="0" w:after="160" w:line="301" w:lineRule="auto"/>
            <w:jc w:val="center"/>
            <w:rPr>
              <w:rFonts w:ascii="Calibri" w:eastAsia="Calibri" w:hAnsi="Calibri" w:cs="Calibri"/>
              <w:color w:val="0F4761"/>
              <w:sz w:val="26"/>
              <w:szCs w:val="26"/>
            </w:rPr>
          </w:pPr>
          <w:bookmarkStart w:id="35" w:name="_heading=h.pff9qprdzh07" w:colFirst="0" w:colLast="0"/>
          <w:bookmarkEnd w:id="35"/>
          <w:r>
            <w:rPr>
              <w:sz w:val="22"/>
              <w:szCs w:val="22"/>
            </w:rPr>
            <w:t xml:space="preserve">Fortalecimiento de la gestión de información territorial y catastral </w:t>
          </w:r>
        </w:p>
      </w:tc>
      <w:tc>
        <w:tcPr>
          <w:tcW w:w="1785" w:type="dxa"/>
          <w:tcBorders>
            <w:top w:val="single" w:sz="8" w:space="0" w:color="BDD7EE"/>
            <w:bottom w:val="single" w:sz="8" w:space="0" w:color="BDD7EE"/>
            <w:right w:val="single" w:sz="8" w:space="0" w:color="BDD7EE"/>
          </w:tcBorders>
          <w:tcMar>
            <w:top w:w="0" w:type="dxa"/>
            <w:left w:w="100" w:type="dxa"/>
            <w:bottom w:w="0" w:type="dxa"/>
            <w:right w:w="100" w:type="dxa"/>
          </w:tcMar>
        </w:tcPr>
        <w:p w14:paraId="74C1D31F" w14:textId="77777777" w:rsidR="00CF2C82" w:rsidRDefault="009F54A0">
          <w:pPr>
            <w:spacing w:after="160" w:line="252" w:lineRule="auto"/>
            <w:jc w:val="center"/>
            <w:rPr>
              <w:rFonts w:ascii="Calibri" w:eastAsia="Calibri" w:hAnsi="Calibri" w:cs="Calibri"/>
            </w:rPr>
          </w:pPr>
          <w:r>
            <w:rPr>
              <w:rFonts w:ascii="Calibri" w:eastAsia="Calibri" w:hAnsi="Calibri" w:cs="Calibri"/>
            </w:rPr>
            <w:t xml:space="preserve"> </w:t>
          </w:r>
        </w:p>
        <w:p w14:paraId="74C1D320" w14:textId="77777777" w:rsidR="00CF2C82" w:rsidRDefault="009F54A0">
          <w:pPr>
            <w:spacing w:after="160" w:line="252" w:lineRule="auto"/>
            <w:jc w:val="center"/>
            <w:rPr>
              <w:rFonts w:ascii="Calibri" w:eastAsia="Calibri" w:hAnsi="Calibri" w:cs="Calibri"/>
              <w:sz w:val="20"/>
              <w:szCs w:val="20"/>
            </w:rPr>
          </w:pPr>
          <w:r>
            <w:rPr>
              <w:rFonts w:ascii="Calibri" w:eastAsia="Calibri" w:hAnsi="Calibri" w:cs="Calibri"/>
              <w:sz w:val="20"/>
              <w:szCs w:val="20"/>
            </w:rPr>
            <w:t>Fecha:</w:t>
          </w:r>
        </w:p>
        <w:p w14:paraId="74C1D321" w14:textId="77777777" w:rsidR="00CF2C82" w:rsidRDefault="009F54A0">
          <w:pPr>
            <w:spacing w:after="160" w:line="252" w:lineRule="auto"/>
            <w:jc w:val="center"/>
            <w:rPr>
              <w:rFonts w:ascii="Calibri" w:eastAsia="Calibri" w:hAnsi="Calibri" w:cs="Calibri"/>
              <w:sz w:val="20"/>
              <w:szCs w:val="20"/>
            </w:rPr>
          </w:pPr>
          <w:r>
            <w:rPr>
              <w:rFonts w:ascii="Calibri" w:eastAsia="Calibri" w:hAnsi="Calibri" w:cs="Calibri"/>
              <w:sz w:val="20"/>
              <w:szCs w:val="20"/>
            </w:rPr>
            <w:t>5/05/2026</w:t>
          </w:r>
        </w:p>
      </w:tc>
    </w:tr>
  </w:tbl>
  <w:p w14:paraId="74C1D323" w14:textId="77777777" w:rsidR="00CF2C82" w:rsidRDefault="00CF2C82">
    <w:pP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328" w14:textId="77777777" w:rsidR="00CF2C82" w:rsidRDefault="00CF2C82">
    <w:pPr>
      <w:pBdr>
        <w:top w:val="nil"/>
        <w:left w:val="nil"/>
        <w:bottom w:val="nil"/>
        <w:right w:val="nil"/>
        <w:between w:val="nil"/>
      </w:pBdr>
      <w:tabs>
        <w:tab w:val="center" w:pos="4419"/>
        <w:tab w:val="right" w:pos="8838"/>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38F0"/>
    <w:multiLevelType w:val="multilevel"/>
    <w:tmpl w:val="1C100B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B683594"/>
    <w:multiLevelType w:val="multilevel"/>
    <w:tmpl w:val="470028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3133C3"/>
    <w:multiLevelType w:val="multilevel"/>
    <w:tmpl w:val="0136EE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9BC1034"/>
    <w:multiLevelType w:val="multilevel"/>
    <w:tmpl w:val="88D287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B8A5537"/>
    <w:multiLevelType w:val="multilevel"/>
    <w:tmpl w:val="CA384F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A794B16"/>
    <w:multiLevelType w:val="multilevel"/>
    <w:tmpl w:val="6AE699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59333E3"/>
    <w:multiLevelType w:val="multilevel"/>
    <w:tmpl w:val="9F5AB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F79560D"/>
    <w:multiLevelType w:val="multilevel"/>
    <w:tmpl w:val="E4286D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4193092"/>
    <w:multiLevelType w:val="multilevel"/>
    <w:tmpl w:val="2A02F2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E195BE8"/>
    <w:multiLevelType w:val="multilevel"/>
    <w:tmpl w:val="4BB01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2831090">
    <w:abstractNumId w:val="5"/>
  </w:num>
  <w:num w:numId="2" w16cid:durableId="121390012">
    <w:abstractNumId w:val="4"/>
  </w:num>
  <w:num w:numId="3" w16cid:durableId="781416375">
    <w:abstractNumId w:val="0"/>
  </w:num>
  <w:num w:numId="4" w16cid:durableId="678316474">
    <w:abstractNumId w:val="2"/>
  </w:num>
  <w:num w:numId="5" w16cid:durableId="1885210785">
    <w:abstractNumId w:val="3"/>
  </w:num>
  <w:num w:numId="6" w16cid:durableId="216361068">
    <w:abstractNumId w:val="1"/>
  </w:num>
  <w:num w:numId="7" w16cid:durableId="565921889">
    <w:abstractNumId w:val="7"/>
  </w:num>
  <w:num w:numId="8" w16cid:durableId="796873497">
    <w:abstractNumId w:val="8"/>
  </w:num>
  <w:num w:numId="9" w16cid:durableId="750125407">
    <w:abstractNumId w:val="9"/>
  </w:num>
  <w:num w:numId="10" w16cid:durableId="538011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C82"/>
    <w:rsid w:val="00140DBF"/>
    <w:rsid w:val="001B67C3"/>
    <w:rsid w:val="0020496A"/>
    <w:rsid w:val="00215BF6"/>
    <w:rsid w:val="0024780B"/>
    <w:rsid w:val="002D16EC"/>
    <w:rsid w:val="00320F69"/>
    <w:rsid w:val="00337A87"/>
    <w:rsid w:val="00357385"/>
    <w:rsid w:val="004E6000"/>
    <w:rsid w:val="005B147D"/>
    <w:rsid w:val="005E5271"/>
    <w:rsid w:val="006847A7"/>
    <w:rsid w:val="00693B66"/>
    <w:rsid w:val="006D085F"/>
    <w:rsid w:val="008A68AB"/>
    <w:rsid w:val="009109E0"/>
    <w:rsid w:val="009231FE"/>
    <w:rsid w:val="009F54A0"/>
    <w:rsid w:val="00B13295"/>
    <w:rsid w:val="00BA5202"/>
    <w:rsid w:val="00C04ECD"/>
    <w:rsid w:val="00CE3206"/>
    <w:rsid w:val="00CF2C82"/>
    <w:rsid w:val="00D159BA"/>
    <w:rsid w:val="00D25D92"/>
    <w:rsid w:val="00DA4885"/>
    <w:rsid w:val="00DF3550"/>
    <w:rsid w:val="00F406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1D0F4"/>
  <w15:docId w15:val="{310E6713-80C1-4D34-88FB-025FC0C65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TtuloTDC">
    <w:name w:val="TOC Heading"/>
    <w:basedOn w:val="Ttulo1"/>
    <w:next w:val="Normal"/>
    <w:uiPriority w:val="39"/>
    <w:unhideWhenUsed/>
    <w:qFormat/>
    <w:rsid w:val="00693B66"/>
    <w:pPr>
      <w:spacing w:before="240" w:after="0" w:line="259" w:lineRule="auto"/>
      <w:outlineLvl w:val="9"/>
    </w:pPr>
    <w:rPr>
      <w:rFonts w:asciiTheme="majorHAnsi" w:eastAsiaTheme="majorEastAsia" w:hAnsiTheme="majorHAnsi" w:cstheme="majorBidi"/>
      <w:color w:val="365F91" w:themeColor="accent1" w:themeShade="BF"/>
      <w:sz w:val="32"/>
      <w:szCs w:val="32"/>
      <w:lang w:val="es-CO"/>
    </w:rPr>
  </w:style>
  <w:style w:type="paragraph" w:styleId="TDC1">
    <w:name w:val="toc 1"/>
    <w:basedOn w:val="Normal"/>
    <w:next w:val="Normal"/>
    <w:autoRedefine/>
    <w:uiPriority w:val="39"/>
    <w:unhideWhenUsed/>
    <w:rsid w:val="00693B66"/>
    <w:pPr>
      <w:spacing w:after="100"/>
    </w:pPr>
  </w:style>
  <w:style w:type="paragraph" w:styleId="TDC2">
    <w:name w:val="toc 2"/>
    <w:basedOn w:val="Normal"/>
    <w:next w:val="Normal"/>
    <w:autoRedefine/>
    <w:uiPriority w:val="39"/>
    <w:unhideWhenUsed/>
    <w:rsid w:val="00693B66"/>
    <w:pPr>
      <w:spacing w:after="100"/>
      <w:ind w:left="220"/>
    </w:pPr>
  </w:style>
  <w:style w:type="paragraph" w:styleId="TDC3">
    <w:name w:val="toc 3"/>
    <w:basedOn w:val="Normal"/>
    <w:next w:val="Normal"/>
    <w:autoRedefine/>
    <w:uiPriority w:val="39"/>
    <w:unhideWhenUsed/>
    <w:rsid w:val="00693B66"/>
    <w:pPr>
      <w:spacing w:after="100"/>
      <w:ind w:left="440"/>
    </w:pPr>
  </w:style>
  <w:style w:type="character" w:styleId="Hipervnculo">
    <w:name w:val="Hyperlink"/>
    <w:basedOn w:val="Fuentedeprrafopredeter"/>
    <w:uiPriority w:val="99"/>
    <w:unhideWhenUsed/>
    <w:rsid w:val="00693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footer" Target="footer1.xml"/><Relationship Id="rId26" Type="http://schemas.openxmlformats.org/officeDocument/2006/relationships/hyperlink" Target="https://www.funcionpublica.gov.co/eva/gestornormativo/norma.php?i=93970" TargetMode="Externa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hyperlink" Target="https://www.funcionpublica.gov.co/eva/gestornormativo/norma.php?i=33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yperlink" Target="https://www.funcionpublica.gov.co/eva/gestornormativo/norma.php?i=339" TargetMode="External"/><Relationship Id="rId32"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image" Target="media/image11.png"/><Relationship Id="rId10" Type="http://schemas.openxmlformats.org/officeDocument/2006/relationships/hyperlink" Target="https://www.xxxxxxxxxxxxxxxxxxxxx/" TargetMode="External"/><Relationship Id="rId19" Type="http://schemas.openxmlformats.org/officeDocument/2006/relationships/footer" Target="footer2.xml"/><Relationship Id="rId31"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9.jpg"/><Relationship Id="rId27" Type="http://schemas.openxmlformats.org/officeDocument/2006/relationships/hyperlink" Target="https://www.funcionpublica.gov.co/eva/gestornormativo/norma.php?i=159967" TargetMode="External"/><Relationship Id="rId30" Type="http://schemas.openxmlformats.org/officeDocument/2006/relationships/image" Target="media/image1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9bYnNgzAwaFse9SD216k4gL+1w==">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31</Pages>
  <Words>5202</Words>
  <Characters>28612</Characters>
  <Application>Microsoft Office Word</Application>
  <DocSecurity>0</DocSecurity>
  <Lines>238</Lines>
  <Paragraphs>67</Paragraphs>
  <ScaleCrop>false</ScaleCrop>
  <Company/>
  <LinksUpToDate>false</LinksUpToDate>
  <CharactersWithSpaces>33747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Hans Saenz</cp:lastModifiedBy>
  <cp:revision>26</cp:revision>
  <dcterms:created xsi:type="dcterms:W3CDTF">2026-05-06T14:44:00Z</dcterms:created>
  <dcterms:modified xsi:type="dcterms:W3CDTF">2026-05-06T15:42:00Z</dcterms:modified>
</cp:coreProperties>
</file>