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11253" w14:textId="77777777" w:rsidR="004C2238" w:rsidRDefault="004C2238">
      <w:pPr>
        <w:rPr>
          <w:b/>
          <w:bCs/>
        </w:rPr>
      </w:pPr>
    </w:p>
    <w:p w14:paraId="33A8CE4C" w14:textId="77777777" w:rsidR="004C2238" w:rsidRDefault="006A3E1D">
      <w:pPr>
        <w:jc w:val="center"/>
        <w:rPr>
          <w:b/>
          <w:bCs/>
        </w:rPr>
      </w:pPr>
      <w:r>
        <w:rPr>
          <w:b/>
          <w:bCs/>
          <w:noProof/>
        </w:rPr>
        <w:drawing>
          <wp:inline distT="114300" distB="114300" distL="114300" distR="114300" wp14:anchorId="53AEE7F5" wp14:editId="78058AD3">
            <wp:extent cx="5277803" cy="706992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277803" cy="7069926"/>
                    </a:xfrm>
                    <a:prstGeom prst="rect">
                      <a:avLst/>
                    </a:prstGeom>
                    <a:ln/>
                  </pic:spPr>
                </pic:pic>
              </a:graphicData>
            </a:graphic>
          </wp:inline>
        </w:drawing>
      </w:r>
    </w:p>
    <w:p w14:paraId="6DFF12C6" w14:textId="77777777" w:rsidR="004C2238" w:rsidRDefault="006A3E1D">
      <w:pPr>
        <w:jc w:val="center"/>
        <w:rPr>
          <w:b/>
          <w:bCs/>
        </w:rPr>
      </w:pPr>
      <w:r>
        <w:rPr>
          <w:b/>
          <w:bCs/>
          <w:noProof/>
        </w:rPr>
        <w:lastRenderedPageBreak/>
        <w:drawing>
          <wp:inline distT="114300" distB="114300" distL="114300" distR="114300" wp14:anchorId="07ABC547" wp14:editId="63BBFB99">
            <wp:extent cx="5612130" cy="75184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5612130" cy="7518400"/>
                    </a:xfrm>
                    <a:prstGeom prst="rect">
                      <a:avLst/>
                    </a:prstGeom>
                    <a:ln/>
                  </pic:spPr>
                </pic:pic>
              </a:graphicData>
            </a:graphic>
          </wp:inline>
        </w:drawing>
      </w:r>
    </w:p>
    <w:p w14:paraId="6D80159C" w14:textId="77777777" w:rsidR="004C2238" w:rsidRDefault="004C2238">
      <w:pPr>
        <w:rPr>
          <w:b/>
          <w:bCs/>
        </w:rPr>
      </w:pPr>
    </w:p>
    <w:p w14:paraId="65CA0039" w14:textId="77777777" w:rsidR="004C2238" w:rsidRDefault="004C2238">
      <w:pPr>
        <w:jc w:val="center"/>
        <w:rPr>
          <w:b/>
          <w:bCs/>
        </w:rPr>
      </w:pPr>
    </w:p>
    <w:p w14:paraId="117782F8" w14:textId="77777777" w:rsidR="004C2238" w:rsidRDefault="006A3E1D">
      <w:pPr>
        <w:jc w:val="center"/>
        <w:rPr>
          <w:b/>
          <w:bCs/>
        </w:rPr>
      </w:pPr>
      <w:r>
        <w:rPr>
          <w:b/>
          <w:bCs/>
        </w:rPr>
        <w:t>Cartilla No. 5</w:t>
      </w:r>
    </w:p>
    <w:p w14:paraId="30E82C07" w14:textId="77777777" w:rsidR="004C2238" w:rsidRDefault="004C2238">
      <w:pPr>
        <w:jc w:val="center"/>
        <w:rPr>
          <w:b/>
          <w:bCs/>
        </w:rPr>
      </w:pPr>
    </w:p>
    <w:p w14:paraId="55EDCA67" w14:textId="77777777" w:rsidR="004C2238" w:rsidRDefault="004C2238">
      <w:pPr>
        <w:jc w:val="center"/>
        <w:rPr>
          <w:b/>
          <w:bCs/>
          <w:sz w:val="28"/>
          <w:szCs w:val="28"/>
        </w:rPr>
      </w:pPr>
    </w:p>
    <w:p w14:paraId="1E7AC4A9" w14:textId="77777777" w:rsidR="004C2238" w:rsidRDefault="004C2238">
      <w:pPr>
        <w:jc w:val="center"/>
        <w:rPr>
          <w:b/>
          <w:bCs/>
          <w:sz w:val="28"/>
          <w:szCs w:val="28"/>
        </w:rPr>
      </w:pPr>
    </w:p>
    <w:p w14:paraId="66D748CE" w14:textId="77777777" w:rsidR="004C2238" w:rsidRDefault="004C2238">
      <w:pPr>
        <w:jc w:val="center"/>
        <w:rPr>
          <w:b/>
          <w:bCs/>
          <w:sz w:val="28"/>
          <w:szCs w:val="28"/>
        </w:rPr>
      </w:pPr>
    </w:p>
    <w:p w14:paraId="6C10F6A0" w14:textId="77777777" w:rsidR="004C2238" w:rsidRDefault="006A3E1D">
      <w:pPr>
        <w:jc w:val="center"/>
        <w:rPr>
          <w:b/>
          <w:bCs/>
          <w:sz w:val="28"/>
          <w:szCs w:val="28"/>
        </w:rPr>
      </w:pPr>
      <w:r>
        <w:rPr>
          <w:b/>
          <w:bCs/>
          <w:sz w:val="28"/>
          <w:szCs w:val="28"/>
        </w:rPr>
        <w:t>Proceso de enajenación directa de bienes fiscales a particulares</w:t>
      </w:r>
    </w:p>
    <w:p w14:paraId="61D258A0" w14:textId="77777777" w:rsidR="004C2238" w:rsidRDefault="004C2238">
      <w:pPr>
        <w:jc w:val="center"/>
        <w:rPr>
          <w:b/>
          <w:bCs/>
        </w:rPr>
      </w:pPr>
    </w:p>
    <w:p w14:paraId="5D9EDFBE" w14:textId="77777777" w:rsidR="004C2238" w:rsidRDefault="004C2238">
      <w:pPr>
        <w:jc w:val="center"/>
        <w:rPr>
          <w:b/>
          <w:bCs/>
        </w:rPr>
      </w:pPr>
    </w:p>
    <w:p w14:paraId="32FA7243" w14:textId="77777777" w:rsidR="004C2238" w:rsidRDefault="004C2238">
      <w:pPr>
        <w:jc w:val="center"/>
        <w:rPr>
          <w:b/>
          <w:bCs/>
        </w:rPr>
      </w:pPr>
    </w:p>
    <w:p w14:paraId="4CFE3FF1" w14:textId="77777777" w:rsidR="004C2238" w:rsidRDefault="006A3E1D">
      <w:pPr>
        <w:jc w:val="center"/>
        <w:rPr>
          <w:b/>
          <w:bCs/>
          <w:color w:val="000000"/>
        </w:rPr>
      </w:pPr>
      <w:bookmarkStart w:id="0" w:name="_heading=h.yfbb2d12ingl" w:colFirst="0" w:colLast="0"/>
      <w:bookmarkEnd w:id="0"/>
      <w:proofErr w:type="spellStart"/>
      <w:r>
        <w:rPr>
          <w:b/>
          <w:bCs/>
          <w:color w:val="000000"/>
        </w:rPr>
        <w:t>CiuData</w:t>
      </w:r>
      <w:proofErr w:type="spellEnd"/>
      <w:r>
        <w:rPr>
          <w:b/>
          <w:bCs/>
          <w:color w:val="000000"/>
        </w:rPr>
        <w:t>+</w:t>
      </w:r>
    </w:p>
    <w:p w14:paraId="50E7E4F4" w14:textId="77777777" w:rsidR="004C2238" w:rsidRDefault="004C2238">
      <w:pPr>
        <w:jc w:val="center"/>
        <w:rPr>
          <w:b/>
          <w:bCs/>
          <w:color w:val="000000"/>
        </w:rPr>
      </w:pPr>
    </w:p>
    <w:p w14:paraId="6B474DC3" w14:textId="77777777" w:rsidR="004C2238" w:rsidRDefault="004C2238">
      <w:pPr>
        <w:jc w:val="center"/>
        <w:rPr>
          <w:b/>
          <w:bCs/>
          <w:color w:val="000000"/>
        </w:rPr>
      </w:pPr>
      <w:bookmarkStart w:id="1" w:name="_heading=h.afg54g4do22t" w:colFirst="0" w:colLast="0"/>
      <w:bookmarkEnd w:id="1"/>
    </w:p>
    <w:p w14:paraId="297F2BFA" w14:textId="77777777" w:rsidR="004C2238" w:rsidRDefault="006A3E1D">
      <w:pPr>
        <w:jc w:val="center"/>
        <w:rPr>
          <w:b/>
          <w:bCs/>
          <w:color w:val="000000"/>
        </w:rPr>
      </w:pPr>
      <w:r>
        <w:rPr>
          <w:b/>
          <w:bCs/>
          <w:color w:val="000000"/>
        </w:rPr>
        <w:t>“Programa para el Fortalecimiento de Gobiernos Subnacionales</w:t>
      </w:r>
    </w:p>
    <w:p w14:paraId="0EC6CC26" w14:textId="77777777" w:rsidR="004C2238" w:rsidRDefault="006A3E1D">
      <w:pPr>
        <w:jc w:val="center"/>
        <w:rPr>
          <w:b/>
          <w:bCs/>
          <w:color w:val="000000"/>
        </w:rPr>
      </w:pPr>
      <w:bookmarkStart w:id="2" w:name="_heading=h.zhu5efbb4z5l" w:colFirst="0" w:colLast="0"/>
      <w:bookmarkEnd w:id="2"/>
      <w:r>
        <w:rPr>
          <w:b/>
          <w:bCs/>
          <w:color w:val="000000"/>
        </w:rPr>
        <w:t>en la Administración de Tierras y Gestión Fiscal en Colombia del Banco Mundial”</w:t>
      </w:r>
    </w:p>
    <w:p w14:paraId="7B92755D" w14:textId="77777777" w:rsidR="004C2238" w:rsidRDefault="004C2238">
      <w:pPr>
        <w:jc w:val="center"/>
        <w:rPr>
          <w:b/>
          <w:bCs/>
        </w:rPr>
      </w:pPr>
    </w:p>
    <w:p w14:paraId="3CAD6D64" w14:textId="77777777" w:rsidR="004C2238" w:rsidRDefault="004C2238">
      <w:pPr>
        <w:jc w:val="center"/>
        <w:rPr>
          <w:b/>
          <w:bCs/>
        </w:rPr>
      </w:pPr>
    </w:p>
    <w:p w14:paraId="644A71DD" w14:textId="77777777" w:rsidR="004C2238" w:rsidRDefault="004C2238">
      <w:pPr>
        <w:jc w:val="center"/>
        <w:rPr>
          <w:b/>
          <w:bCs/>
          <w:color w:val="000000"/>
        </w:rPr>
      </w:pPr>
      <w:bookmarkStart w:id="3" w:name="_heading=h.1ecmb1i4ojhw" w:colFirst="0" w:colLast="0"/>
      <w:bookmarkEnd w:id="3"/>
    </w:p>
    <w:p w14:paraId="16FF11A4" w14:textId="77777777" w:rsidR="004C2238" w:rsidRDefault="004C2238">
      <w:pPr>
        <w:jc w:val="center"/>
        <w:rPr>
          <w:b/>
          <w:bCs/>
          <w:color w:val="000000"/>
        </w:rPr>
      </w:pPr>
    </w:p>
    <w:p w14:paraId="525478B3" w14:textId="77777777" w:rsidR="004C2238" w:rsidRDefault="006A3E1D">
      <w:pPr>
        <w:jc w:val="center"/>
        <w:rPr>
          <w:b/>
          <w:bCs/>
          <w:color w:val="000000"/>
        </w:rPr>
      </w:pPr>
      <w:r>
        <w:rPr>
          <w:b/>
          <w:bCs/>
          <w:color w:val="000000"/>
        </w:rPr>
        <w:t>Fortalecimiento de la gestión de información territorial y catastral</w:t>
      </w:r>
    </w:p>
    <w:p w14:paraId="0DA746BE" w14:textId="77777777" w:rsidR="004C2238" w:rsidRDefault="004C2238">
      <w:pPr>
        <w:jc w:val="center"/>
        <w:rPr>
          <w:b/>
          <w:bCs/>
        </w:rPr>
      </w:pPr>
    </w:p>
    <w:p w14:paraId="6551A716" w14:textId="77777777" w:rsidR="004C2238" w:rsidRDefault="004C2238">
      <w:pPr>
        <w:jc w:val="center"/>
        <w:rPr>
          <w:b/>
          <w:bCs/>
        </w:rPr>
      </w:pPr>
    </w:p>
    <w:p w14:paraId="0883DC73" w14:textId="77777777" w:rsidR="004C2238" w:rsidRDefault="004C2238">
      <w:pPr>
        <w:jc w:val="center"/>
        <w:rPr>
          <w:b/>
          <w:bCs/>
        </w:rPr>
      </w:pPr>
    </w:p>
    <w:p w14:paraId="45ACD901" w14:textId="77777777" w:rsidR="004C2238" w:rsidRDefault="004C2238">
      <w:pPr>
        <w:jc w:val="center"/>
        <w:rPr>
          <w:b/>
          <w:bCs/>
        </w:rPr>
      </w:pPr>
    </w:p>
    <w:p w14:paraId="130DE22B" w14:textId="77777777" w:rsidR="004C2238" w:rsidRDefault="004C2238">
      <w:pPr>
        <w:jc w:val="center"/>
        <w:rPr>
          <w:b/>
          <w:bCs/>
        </w:rPr>
      </w:pPr>
    </w:p>
    <w:p w14:paraId="16AA4731" w14:textId="77777777" w:rsidR="004C2238" w:rsidRDefault="004C2238">
      <w:pPr>
        <w:jc w:val="center"/>
        <w:rPr>
          <w:b/>
          <w:bCs/>
        </w:rPr>
      </w:pPr>
    </w:p>
    <w:p w14:paraId="1D79E5CA" w14:textId="77777777" w:rsidR="004C2238" w:rsidRDefault="004C2238">
      <w:pPr>
        <w:jc w:val="center"/>
        <w:rPr>
          <w:b/>
          <w:bCs/>
        </w:rPr>
      </w:pPr>
    </w:p>
    <w:p w14:paraId="687138B1" w14:textId="77777777" w:rsidR="004C2238" w:rsidRDefault="004C2238">
      <w:pPr>
        <w:jc w:val="center"/>
        <w:rPr>
          <w:b/>
          <w:bCs/>
        </w:rPr>
      </w:pPr>
    </w:p>
    <w:p w14:paraId="5A98D4FC" w14:textId="77777777" w:rsidR="004C2238" w:rsidRDefault="004C2238">
      <w:pPr>
        <w:jc w:val="center"/>
        <w:rPr>
          <w:b/>
          <w:bCs/>
        </w:rPr>
      </w:pPr>
    </w:p>
    <w:p w14:paraId="342FBCF6" w14:textId="77777777" w:rsidR="004C2238" w:rsidRDefault="004C2238">
      <w:pPr>
        <w:jc w:val="center"/>
        <w:rPr>
          <w:b/>
          <w:bCs/>
        </w:rPr>
      </w:pPr>
    </w:p>
    <w:p w14:paraId="2670F50C" w14:textId="77777777" w:rsidR="004C2238" w:rsidRDefault="004C2238">
      <w:pPr>
        <w:jc w:val="center"/>
        <w:rPr>
          <w:b/>
          <w:bCs/>
        </w:rPr>
      </w:pPr>
    </w:p>
    <w:p w14:paraId="5675925E" w14:textId="77777777" w:rsidR="004C2238" w:rsidRDefault="004C2238">
      <w:pPr>
        <w:jc w:val="center"/>
        <w:rPr>
          <w:b/>
          <w:bCs/>
        </w:rPr>
      </w:pPr>
    </w:p>
    <w:p w14:paraId="777D0526" w14:textId="77777777" w:rsidR="004C2238" w:rsidRDefault="004C2238">
      <w:pPr>
        <w:jc w:val="center"/>
        <w:rPr>
          <w:b/>
          <w:bCs/>
        </w:rPr>
      </w:pPr>
    </w:p>
    <w:p w14:paraId="123B7D51" w14:textId="77777777" w:rsidR="004C2238" w:rsidRDefault="004C2238">
      <w:pPr>
        <w:jc w:val="center"/>
        <w:rPr>
          <w:b/>
          <w:bCs/>
        </w:rPr>
      </w:pPr>
    </w:p>
    <w:p w14:paraId="0F433F4E" w14:textId="77777777" w:rsidR="004C2238" w:rsidRDefault="006A3E1D">
      <w:pPr>
        <w:jc w:val="center"/>
        <w:rPr>
          <w:b/>
          <w:bCs/>
        </w:rPr>
      </w:pPr>
      <w:r>
        <w:rPr>
          <w:b/>
          <w:bCs/>
        </w:rPr>
        <w:t>Versión junio 2026</w:t>
      </w:r>
    </w:p>
    <w:p w14:paraId="21E053A0" w14:textId="77777777" w:rsidR="004C2238" w:rsidRDefault="004C2238">
      <w:pPr>
        <w:jc w:val="center"/>
        <w:rPr>
          <w:b/>
          <w:bCs/>
        </w:rPr>
      </w:pPr>
    </w:p>
    <w:p w14:paraId="35F4F51F" w14:textId="77777777" w:rsidR="004C2238" w:rsidRDefault="004C2238">
      <w:pPr>
        <w:jc w:val="center"/>
        <w:rPr>
          <w:b/>
          <w:bCs/>
        </w:rPr>
      </w:pPr>
    </w:p>
    <w:p w14:paraId="116C717E" w14:textId="77777777" w:rsidR="004C2238" w:rsidRDefault="004C2238">
      <w:pPr>
        <w:jc w:val="center"/>
        <w:rPr>
          <w:b/>
          <w:bCs/>
        </w:rPr>
      </w:pPr>
    </w:p>
    <w:p w14:paraId="084AB057" w14:textId="77777777" w:rsidR="004C2238" w:rsidRDefault="004C2238">
      <w:pPr>
        <w:jc w:val="center"/>
        <w:rPr>
          <w:b/>
          <w:bCs/>
        </w:rPr>
      </w:pPr>
    </w:p>
    <w:p w14:paraId="345BAA9C" w14:textId="77777777" w:rsidR="004C2238" w:rsidRDefault="004C2238">
      <w:pPr>
        <w:jc w:val="center"/>
        <w:rPr>
          <w:b/>
          <w:bCs/>
        </w:rPr>
      </w:pPr>
    </w:p>
    <w:p w14:paraId="3BACF492" w14:textId="77777777" w:rsidR="004C2238" w:rsidRDefault="004C2238">
      <w:pPr>
        <w:rPr>
          <w:b/>
          <w:bCs/>
          <w:color w:val="000000"/>
        </w:rPr>
      </w:pPr>
    </w:p>
    <w:p w14:paraId="752F4CF8" w14:textId="77777777" w:rsidR="004C2238" w:rsidRDefault="006A3E1D">
      <w:pPr>
        <w:rPr>
          <w:b/>
          <w:bCs/>
          <w:sz w:val="24"/>
          <w:szCs w:val="24"/>
        </w:rPr>
      </w:pPr>
      <w:r>
        <w:rPr>
          <w:b/>
          <w:bCs/>
          <w:sz w:val="24"/>
          <w:szCs w:val="24"/>
        </w:rPr>
        <w:t xml:space="preserve">Public </w:t>
      </w:r>
      <w:proofErr w:type="spellStart"/>
      <w:r>
        <w:rPr>
          <w:b/>
          <w:bCs/>
          <w:sz w:val="24"/>
          <w:szCs w:val="24"/>
        </w:rPr>
        <w:t>Disclosure</w:t>
      </w:r>
      <w:proofErr w:type="spellEnd"/>
      <w:r>
        <w:rPr>
          <w:b/>
          <w:bCs/>
          <w:sz w:val="24"/>
          <w:szCs w:val="24"/>
        </w:rPr>
        <w:t xml:space="preserve"> </w:t>
      </w:r>
      <w:proofErr w:type="spellStart"/>
      <w:r>
        <w:rPr>
          <w:b/>
          <w:bCs/>
          <w:sz w:val="24"/>
          <w:szCs w:val="24"/>
        </w:rPr>
        <w:t>Authorized</w:t>
      </w:r>
      <w:proofErr w:type="spellEnd"/>
      <w:r>
        <w:rPr>
          <w:b/>
          <w:bCs/>
          <w:sz w:val="24"/>
          <w:szCs w:val="24"/>
        </w:rPr>
        <w:t xml:space="preserve"> </w:t>
      </w:r>
    </w:p>
    <w:p w14:paraId="32A8AE52" w14:textId="77777777" w:rsidR="004C2238" w:rsidRDefault="006A3E1D">
      <w:pPr>
        <w:rPr>
          <w:b/>
          <w:bCs/>
          <w:sz w:val="24"/>
          <w:szCs w:val="24"/>
        </w:rPr>
      </w:pPr>
      <w:r>
        <w:rPr>
          <w:b/>
          <w:bCs/>
          <w:sz w:val="24"/>
          <w:szCs w:val="24"/>
        </w:rPr>
        <w:t>Ministerio de Vivienda, ciudad y Territorio</w:t>
      </w:r>
    </w:p>
    <w:p w14:paraId="0C344CBE" w14:textId="77777777" w:rsidR="004C2238" w:rsidRDefault="006A3E1D">
      <w:pPr>
        <w:rPr>
          <w:b/>
          <w:bCs/>
          <w:sz w:val="24"/>
          <w:szCs w:val="24"/>
        </w:rPr>
      </w:pPr>
      <w:bookmarkStart w:id="4" w:name="_heading=h.tljjl4axtm3k" w:colFirst="0" w:colLast="0"/>
      <w:bookmarkEnd w:id="4"/>
      <w:r>
        <w:rPr>
          <w:b/>
          <w:bCs/>
          <w:sz w:val="24"/>
          <w:szCs w:val="24"/>
        </w:rPr>
        <w:t>Helga María Rivas Ardila - Ministra de Vivienda, Ciudad y Territorio</w:t>
      </w:r>
    </w:p>
    <w:p w14:paraId="4D70DD67" w14:textId="77777777" w:rsidR="004C2238" w:rsidRDefault="004C2238">
      <w:pPr>
        <w:rPr>
          <w:b/>
          <w:bCs/>
          <w:sz w:val="24"/>
          <w:szCs w:val="24"/>
        </w:rPr>
      </w:pPr>
    </w:p>
    <w:p w14:paraId="7DEAA416" w14:textId="77777777" w:rsidR="004C2238" w:rsidRDefault="006A3E1D">
      <w:pPr>
        <w:rPr>
          <w:b/>
          <w:bCs/>
          <w:sz w:val="24"/>
          <w:szCs w:val="24"/>
        </w:rPr>
      </w:pPr>
      <w:r>
        <w:rPr>
          <w:b/>
          <w:bCs/>
          <w:sz w:val="24"/>
          <w:szCs w:val="24"/>
        </w:rPr>
        <w:t xml:space="preserve">Departamento Nacional de </w:t>
      </w:r>
      <w:proofErr w:type="spellStart"/>
      <w:r>
        <w:rPr>
          <w:b/>
          <w:bCs/>
          <w:sz w:val="24"/>
          <w:szCs w:val="24"/>
        </w:rPr>
        <w:t>PLaneación</w:t>
      </w:r>
      <w:proofErr w:type="spellEnd"/>
      <w:r>
        <w:rPr>
          <w:b/>
          <w:bCs/>
          <w:sz w:val="24"/>
          <w:szCs w:val="24"/>
        </w:rPr>
        <w:t xml:space="preserve"> DNP</w:t>
      </w:r>
    </w:p>
    <w:p w14:paraId="2DA5E0DF" w14:textId="77777777" w:rsidR="004C2238" w:rsidRDefault="006A3E1D">
      <w:pPr>
        <w:rPr>
          <w:b/>
          <w:bCs/>
          <w:sz w:val="24"/>
          <w:szCs w:val="24"/>
        </w:rPr>
      </w:pPr>
      <w:r>
        <w:rPr>
          <w:b/>
          <w:bCs/>
          <w:sz w:val="24"/>
          <w:szCs w:val="24"/>
        </w:rPr>
        <w:t xml:space="preserve">Dirección de Ordenamiento y Desarrollo Territorial </w:t>
      </w:r>
    </w:p>
    <w:p w14:paraId="4FB08EAC" w14:textId="77777777" w:rsidR="004C2238" w:rsidRDefault="004C2238">
      <w:pPr>
        <w:rPr>
          <w:b/>
          <w:bCs/>
          <w:sz w:val="24"/>
          <w:szCs w:val="24"/>
        </w:rPr>
      </w:pPr>
    </w:p>
    <w:p w14:paraId="435E3726" w14:textId="77777777" w:rsidR="004C2238" w:rsidRDefault="006A3E1D">
      <w:pPr>
        <w:rPr>
          <w:b/>
          <w:bCs/>
          <w:sz w:val="24"/>
          <w:szCs w:val="24"/>
        </w:rPr>
      </w:pPr>
      <w:r>
        <w:rPr>
          <w:b/>
          <w:bCs/>
          <w:sz w:val="24"/>
          <w:szCs w:val="24"/>
        </w:rPr>
        <w:t>Banco Mundial-</w:t>
      </w:r>
    </w:p>
    <w:p w14:paraId="10767E68" w14:textId="77777777" w:rsidR="004C2238" w:rsidRDefault="006A3E1D">
      <w:pPr>
        <w:rPr>
          <w:b/>
          <w:bCs/>
          <w:color w:val="231F20"/>
          <w:sz w:val="24"/>
          <w:szCs w:val="24"/>
        </w:rPr>
      </w:pPr>
      <w:r>
        <w:rPr>
          <w:b/>
          <w:bCs/>
          <w:sz w:val="24"/>
          <w:szCs w:val="24"/>
        </w:rPr>
        <w:t>Ivonne Astrid Moreno Horta,</w:t>
      </w:r>
      <w:r>
        <w:rPr>
          <w:b/>
          <w:bCs/>
          <w:color w:val="231F20"/>
          <w:sz w:val="24"/>
          <w:szCs w:val="24"/>
        </w:rPr>
        <w:t xml:space="preserve"> Especialista Senior Administración de Tierras</w:t>
      </w:r>
    </w:p>
    <w:p w14:paraId="2CDC07D7" w14:textId="77777777" w:rsidR="004C2238" w:rsidRDefault="006A3E1D">
      <w:pPr>
        <w:rPr>
          <w:b/>
          <w:bCs/>
          <w:color w:val="231F20"/>
          <w:sz w:val="24"/>
          <w:szCs w:val="24"/>
        </w:rPr>
      </w:pPr>
      <w:r>
        <w:rPr>
          <w:b/>
          <w:bCs/>
          <w:sz w:val="24"/>
          <w:szCs w:val="24"/>
        </w:rPr>
        <w:t xml:space="preserve">Carolina Londoño Araque, </w:t>
      </w:r>
      <w:r>
        <w:rPr>
          <w:b/>
          <w:bCs/>
          <w:color w:val="231F20"/>
          <w:sz w:val="24"/>
          <w:szCs w:val="24"/>
        </w:rPr>
        <w:t xml:space="preserve">Coordinadora XXXXXX </w:t>
      </w:r>
      <w:proofErr w:type="spellStart"/>
      <w:r>
        <w:rPr>
          <w:b/>
          <w:bCs/>
          <w:color w:val="231F20"/>
          <w:sz w:val="24"/>
          <w:szCs w:val="24"/>
        </w:rPr>
        <w:t>CiuData</w:t>
      </w:r>
      <w:proofErr w:type="spellEnd"/>
      <w:r>
        <w:rPr>
          <w:b/>
          <w:bCs/>
          <w:color w:val="231F20"/>
          <w:sz w:val="24"/>
          <w:szCs w:val="24"/>
        </w:rPr>
        <w:t>+</w:t>
      </w:r>
    </w:p>
    <w:p w14:paraId="10259574" w14:textId="77777777" w:rsidR="004C2238" w:rsidRDefault="006A3E1D">
      <w:pPr>
        <w:rPr>
          <w:b/>
          <w:bCs/>
          <w:color w:val="231F20"/>
          <w:sz w:val="24"/>
          <w:szCs w:val="24"/>
        </w:rPr>
      </w:pPr>
      <w:r>
        <w:rPr>
          <w:b/>
          <w:bCs/>
          <w:sz w:val="24"/>
          <w:szCs w:val="24"/>
        </w:rPr>
        <w:t xml:space="preserve">Jorge Augusto Bonil Cubides, </w:t>
      </w:r>
      <w:r>
        <w:rPr>
          <w:b/>
          <w:bCs/>
          <w:color w:val="231F20"/>
          <w:sz w:val="24"/>
          <w:szCs w:val="24"/>
        </w:rPr>
        <w:t xml:space="preserve">Coordinador Técnico Programa </w:t>
      </w:r>
      <w:proofErr w:type="spellStart"/>
      <w:r>
        <w:rPr>
          <w:b/>
          <w:bCs/>
          <w:color w:val="231F20"/>
          <w:sz w:val="24"/>
          <w:szCs w:val="24"/>
        </w:rPr>
        <w:t>CiuData</w:t>
      </w:r>
      <w:proofErr w:type="spellEnd"/>
      <w:r>
        <w:rPr>
          <w:b/>
          <w:bCs/>
          <w:color w:val="231F20"/>
          <w:sz w:val="24"/>
          <w:szCs w:val="24"/>
        </w:rPr>
        <w:t>+</w:t>
      </w:r>
    </w:p>
    <w:p w14:paraId="0CE34E86" w14:textId="77777777" w:rsidR="004C2238" w:rsidRDefault="006A3E1D">
      <w:pPr>
        <w:rPr>
          <w:b/>
          <w:bCs/>
          <w:sz w:val="24"/>
          <w:szCs w:val="24"/>
        </w:rPr>
      </w:pPr>
      <w:r>
        <w:rPr>
          <w:b/>
          <w:bCs/>
          <w:sz w:val="24"/>
          <w:szCs w:val="24"/>
        </w:rPr>
        <w:t xml:space="preserve"> </w:t>
      </w:r>
    </w:p>
    <w:p w14:paraId="074813D2" w14:textId="77777777" w:rsidR="004C2238" w:rsidRDefault="006A3E1D">
      <w:pPr>
        <w:rPr>
          <w:b/>
          <w:bCs/>
          <w:sz w:val="24"/>
          <w:szCs w:val="24"/>
        </w:rPr>
      </w:pPr>
      <w:r>
        <w:rPr>
          <w:b/>
          <w:bCs/>
          <w:sz w:val="24"/>
          <w:szCs w:val="24"/>
        </w:rPr>
        <w:t>Coordinación y edición:</w:t>
      </w:r>
    </w:p>
    <w:p w14:paraId="732D080C" w14:textId="77777777" w:rsidR="004C2238" w:rsidRDefault="006A3E1D">
      <w:pPr>
        <w:rPr>
          <w:b/>
          <w:bCs/>
          <w:color w:val="231F20"/>
          <w:sz w:val="24"/>
          <w:szCs w:val="24"/>
        </w:rPr>
      </w:pPr>
      <w:r>
        <w:rPr>
          <w:b/>
          <w:bCs/>
          <w:sz w:val="24"/>
          <w:szCs w:val="24"/>
        </w:rPr>
        <w:t xml:space="preserve">Jorge Augusto Bonil , </w:t>
      </w:r>
      <w:r>
        <w:rPr>
          <w:b/>
          <w:bCs/>
          <w:color w:val="231F20"/>
          <w:sz w:val="24"/>
          <w:szCs w:val="24"/>
        </w:rPr>
        <w:t xml:space="preserve">Coordinador Técnico Programa </w:t>
      </w:r>
      <w:proofErr w:type="spellStart"/>
      <w:r>
        <w:rPr>
          <w:b/>
          <w:bCs/>
          <w:color w:val="231F20"/>
          <w:sz w:val="24"/>
          <w:szCs w:val="24"/>
        </w:rPr>
        <w:t>CiuData</w:t>
      </w:r>
      <w:proofErr w:type="spellEnd"/>
      <w:r>
        <w:rPr>
          <w:b/>
          <w:bCs/>
          <w:color w:val="231F20"/>
          <w:sz w:val="24"/>
          <w:szCs w:val="24"/>
        </w:rPr>
        <w:t>+</w:t>
      </w:r>
    </w:p>
    <w:p w14:paraId="219AAD5F" w14:textId="77777777" w:rsidR="004C2238" w:rsidRDefault="006A3E1D">
      <w:pPr>
        <w:rPr>
          <w:b/>
          <w:bCs/>
          <w:sz w:val="24"/>
          <w:szCs w:val="24"/>
        </w:rPr>
      </w:pPr>
      <w:r>
        <w:rPr>
          <w:b/>
          <w:bCs/>
          <w:sz w:val="24"/>
          <w:szCs w:val="24"/>
        </w:rPr>
        <w:t xml:space="preserve"> </w:t>
      </w:r>
    </w:p>
    <w:p w14:paraId="45F9D679" w14:textId="77777777" w:rsidR="004C2238" w:rsidRDefault="006A3E1D">
      <w:pPr>
        <w:rPr>
          <w:b/>
          <w:bCs/>
          <w:sz w:val="24"/>
          <w:szCs w:val="24"/>
        </w:rPr>
      </w:pPr>
      <w:r>
        <w:rPr>
          <w:b/>
          <w:bCs/>
          <w:sz w:val="24"/>
          <w:szCs w:val="24"/>
        </w:rPr>
        <w:t xml:space="preserve">Investigación y elaboración: </w:t>
      </w:r>
    </w:p>
    <w:p w14:paraId="1CA5CC4E" w14:textId="77777777" w:rsidR="004C2238" w:rsidRDefault="006A3E1D">
      <w:pPr>
        <w:rPr>
          <w:b/>
          <w:bCs/>
          <w:color w:val="231F20"/>
          <w:sz w:val="24"/>
          <w:szCs w:val="24"/>
        </w:rPr>
      </w:pPr>
      <w:r>
        <w:rPr>
          <w:b/>
          <w:bCs/>
          <w:color w:val="231F20"/>
          <w:sz w:val="24"/>
          <w:szCs w:val="24"/>
        </w:rPr>
        <w:t>Marcela Lucena Pantona , Consultora Jurídica</w:t>
      </w:r>
    </w:p>
    <w:p w14:paraId="1F9B98D7" w14:textId="77777777" w:rsidR="004C2238" w:rsidRDefault="006A3E1D">
      <w:pPr>
        <w:rPr>
          <w:b/>
          <w:bCs/>
          <w:color w:val="231F20"/>
          <w:sz w:val="24"/>
          <w:szCs w:val="24"/>
        </w:rPr>
      </w:pPr>
      <w:r>
        <w:rPr>
          <w:b/>
          <w:bCs/>
          <w:color w:val="231F20"/>
          <w:sz w:val="24"/>
          <w:szCs w:val="24"/>
        </w:rPr>
        <w:t>Paola  Andrea Otoya Leguizamón , Consultora Jurídica</w:t>
      </w:r>
    </w:p>
    <w:p w14:paraId="2F43350A" w14:textId="77777777" w:rsidR="004C2238" w:rsidRDefault="006A3E1D">
      <w:pPr>
        <w:rPr>
          <w:b/>
          <w:bCs/>
          <w:color w:val="231F20"/>
          <w:sz w:val="24"/>
          <w:szCs w:val="24"/>
        </w:rPr>
      </w:pPr>
      <w:r>
        <w:rPr>
          <w:b/>
          <w:bCs/>
          <w:color w:val="231F20"/>
          <w:sz w:val="24"/>
          <w:szCs w:val="24"/>
        </w:rPr>
        <w:t>Hans Rene Saenz, Consultor Catastral</w:t>
      </w:r>
    </w:p>
    <w:p w14:paraId="40569EAB" w14:textId="77777777" w:rsidR="004C2238" w:rsidRDefault="006A3E1D">
      <w:pPr>
        <w:rPr>
          <w:b/>
          <w:bCs/>
          <w:color w:val="231F20"/>
          <w:sz w:val="24"/>
          <w:szCs w:val="24"/>
        </w:rPr>
      </w:pPr>
      <w:r>
        <w:rPr>
          <w:b/>
          <w:bCs/>
          <w:color w:val="231F20"/>
          <w:sz w:val="24"/>
          <w:szCs w:val="24"/>
        </w:rPr>
        <w:t xml:space="preserve"> </w:t>
      </w:r>
    </w:p>
    <w:p w14:paraId="5611DE63" w14:textId="77777777" w:rsidR="004C2238" w:rsidRDefault="006A3E1D">
      <w:pPr>
        <w:rPr>
          <w:b/>
          <w:bCs/>
          <w:color w:val="231F20"/>
          <w:sz w:val="24"/>
          <w:szCs w:val="24"/>
        </w:rPr>
      </w:pPr>
      <w:r>
        <w:rPr>
          <w:b/>
          <w:bCs/>
          <w:color w:val="231F20"/>
          <w:sz w:val="24"/>
          <w:szCs w:val="24"/>
        </w:rPr>
        <w:t>Revisión técnica:</w:t>
      </w:r>
    </w:p>
    <w:p w14:paraId="068D54C2" w14:textId="77777777" w:rsidR="004C2238" w:rsidRDefault="006A3E1D">
      <w:pPr>
        <w:rPr>
          <w:b/>
          <w:bCs/>
          <w:color w:val="231F20"/>
          <w:sz w:val="24"/>
          <w:szCs w:val="24"/>
        </w:rPr>
      </w:pPr>
      <w:r>
        <w:rPr>
          <w:b/>
          <w:bCs/>
          <w:sz w:val="24"/>
          <w:szCs w:val="24"/>
        </w:rPr>
        <w:t xml:space="preserve">Jorge Augusto Bonil , </w:t>
      </w:r>
      <w:r>
        <w:rPr>
          <w:b/>
          <w:bCs/>
          <w:color w:val="231F20"/>
          <w:sz w:val="24"/>
          <w:szCs w:val="24"/>
        </w:rPr>
        <w:t xml:space="preserve">Coordinador Técnico Programa </w:t>
      </w:r>
      <w:proofErr w:type="spellStart"/>
      <w:r>
        <w:rPr>
          <w:b/>
          <w:bCs/>
          <w:color w:val="231F20"/>
          <w:sz w:val="24"/>
          <w:szCs w:val="24"/>
        </w:rPr>
        <w:t>CiuData</w:t>
      </w:r>
      <w:proofErr w:type="spellEnd"/>
      <w:r>
        <w:rPr>
          <w:b/>
          <w:bCs/>
          <w:color w:val="231F20"/>
          <w:sz w:val="24"/>
          <w:szCs w:val="24"/>
        </w:rPr>
        <w:t>+</w:t>
      </w:r>
    </w:p>
    <w:p w14:paraId="76F95351" w14:textId="77777777" w:rsidR="004C2238" w:rsidRDefault="006A3E1D">
      <w:pPr>
        <w:rPr>
          <w:b/>
          <w:bCs/>
          <w:sz w:val="24"/>
          <w:szCs w:val="24"/>
        </w:rPr>
      </w:pPr>
      <w:r>
        <w:rPr>
          <w:b/>
          <w:bCs/>
          <w:sz w:val="24"/>
          <w:szCs w:val="24"/>
        </w:rPr>
        <w:t xml:space="preserve"> </w:t>
      </w:r>
    </w:p>
    <w:p w14:paraId="55FE3725" w14:textId="77777777" w:rsidR="004C2238" w:rsidRDefault="006A3E1D">
      <w:pPr>
        <w:rPr>
          <w:b/>
          <w:bCs/>
          <w:color w:val="231F20"/>
          <w:sz w:val="24"/>
          <w:szCs w:val="24"/>
        </w:rPr>
      </w:pPr>
      <w:r>
        <w:rPr>
          <w:b/>
          <w:bCs/>
          <w:color w:val="231F20"/>
          <w:sz w:val="24"/>
          <w:szCs w:val="24"/>
        </w:rPr>
        <w:t>Edición, diseño y diagramación:</w:t>
      </w:r>
    </w:p>
    <w:p w14:paraId="149675DD" w14:textId="77777777" w:rsidR="004C2238" w:rsidRDefault="006A3E1D">
      <w:pPr>
        <w:rPr>
          <w:b/>
          <w:bCs/>
          <w:color w:val="FF0000"/>
          <w:sz w:val="24"/>
          <w:szCs w:val="24"/>
        </w:rPr>
      </w:pPr>
      <w:r>
        <w:rPr>
          <w:b/>
          <w:bCs/>
          <w:color w:val="FF0000"/>
          <w:sz w:val="24"/>
          <w:szCs w:val="24"/>
        </w:rPr>
        <w:t>XXXXXXXXXXX</w:t>
      </w:r>
    </w:p>
    <w:p w14:paraId="6B345694" w14:textId="77777777" w:rsidR="004C2238" w:rsidRDefault="006A3E1D">
      <w:pPr>
        <w:rPr>
          <w:b/>
          <w:bCs/>
          <w:sz w:val="24"/>
          <w:szCs w:val="24"/>
        </w:rPr>
      </w:pPr>
      <w:r>
        <w:rPr>
          <w:b/>
          <w:bCs/>
          <w:sz w:val="24"/>
          <w:szCs w:val="24"/>
        </w:rPr>
        <w:t xml:space="preserve"> </w:t>
      </w:r>
    </w:p>
    <w:p w14:paraId="51EA6DEA" w14:textId="77777777" w:rsidR="004C2238" w:rsidRDefault="006A3E1D">
      <w:pPr>
        <w:rPr>
          <w:b/>
          <w:bCs/>
          <w:color w:val="231F20"/>
          <w:sz w:val="24"/>
          <w:szCs w:val="24"/>
        </w:rPr>
      </w:pPr>
      <w:r>
        <w:rPr>
          <w:b/>
          <w:bCs/>
          <w:color w:val="231F20"/>
          <w:sz w:val="24"/>
          <w:szCs w:val="24"/>
        </w:rPr>
        <w:t xml:space="preserve">El documento virtual podrá ser encontrado en: </w:t>
      </w:r>
    </w:p>
    <w:p w14:paraId="2987977B" w14:textId="77777777" w:rsidR="004C2238" w:rsidRPr="00047EB9" w:rsidRDefault="004C2238">
      <w:pPr>
        <w:rPr>
          <w:b/>
          <w:bCs/>
          <w:color w:val="FF0000"/>
          <w:sz w:val="24"/>
          <w:szCs w:val="24"/>
          <w:u w:val="single"/>
          <w:lang w:val="en-US"/>
        </w:rPr>
      </w:pPr>
      <w:r>
        <w:fldChar w:fldCharType="begin"/>
      </w:r>
      <w:r w:rsidRPr="003E112B">
        <w:rPr>
          <w:lang w:val="de-DE"/>
        </w:rPr>
        <w:instrText>HYPERLINK "https://www.xxxxxxxxxxxxxxxxxxxxx/" \h</w:instrText>
      </w:r>
      <w:r>
        <w:fldChar w:fldCharType="separate"/>
      </w:r>
      <w:r w:rsidRPr="00047EB9">
        <w:rPr>
          <w:b/>
          <w:bCs/>
          <w:color w:val="FF0000"/>
          <w:sz w:val="24"/>
          <w:szCs w:val="24"/>
          <w:u w:val="single"/>
          <w:lang w:val="en-US"/>
        </w:rPr>
        <w:t>https://www.xxxxxxxxxxxxxxxxxxxxx</w:t>
      </w:r>
      <w:r>
        <w:fldChar w:fldCharType="end"/>
      </w:r>
    </w:p>
    <w:p w14:paraId="51CB0B9F" w14:textId="77777777" w:rsidR="004C2238" w:rsidRPr="00047EB9" w:rsidRDefault="006A3E1D">
      <w:pPr>
        <w:rPr>
          <w:b/>
          <w:bCs/>
          <w:sz w:val="24"/>
          <w:szCs w:val="24"/>
          <w:lang w:val="en-US"/>
        </w:rPr>
      </w:pPr>
      <w:r w:rsidRPr="00047EB9">
        <w:rPr>
          <w:b/>
          <w:bCs/>
          <w:sz w:val="24"/>
          <w:szCs w:val="24"/>
          <w:lang w:val="en-US"/>
        </w:rPr>
        <w:t xml:space="preserve"> </w:t>
      </w:r>
    </w:p>
    <w:p w14:paraId="7589A69B" w14:textId="77777777" w:rsidR="004C2238" w:rsidRPr="00047EB9" w:rsidRDefault="006A3E1D">
      <w:pPr>
        <w:rPr>
          <w:b/>
          <w:bCs/>
          <w:sz w:val="24"/>
          <w:szCs w:val="24"/>
          <w:lang w:val="en-US"/>
        </w:rPr>
      </w:pPr>
      <w:r w:rsidRPr="00047EB9">
        <w:rPr>
          <w:b/>
          <w:bCs/>
          <w:sz w:val="24"/>
          <w:szCs w:val="24"/>
          <w:lang w:val="en-US"/>
        </w:rPr>
        <w:t xml:space="preserve">Copyright © 2026 The World Bank </w:t>
      </w:r>
    </w:p>
    <w:p w14:paraId="3CC96BF7" w14:textId="77777777" w:rsidR="004C2238" w:rsidRPr="00047EB9" w:rsidRDefault="006A3E1D">
      <w:pPr>
        <w:rPr>
          <w:b/>
          <w:bCs/>
          <w:sz w:val="24"/>
          <w:szCs w:val="24"/>
          <w:lang w:val="en-US"/>
        </w:rPr>
      </w:pPr>
      <w:bookmarkStart w:id="5" w:name="_heading=h.58xtjdd5ujt3" w:colFirst="0" w:colLast="0"/>
      <w:bookmarkEnd w:id="5"/>
      <w:r w:rsidRPr="00047EB9">
        <w:rPr>
          <w:b/>
          <w:bCs/>
          <w:sz w:val="24"/>
          <w:szCs w:val="24"/>
          <w:lang w:val="en-US"/>
        </w:rPr>
        <w:t>1818 H Street NW, Washington DC 20433</w:t>
      </w:r>
    </w:p>
    <w:p w14:paraId="163FAC8A" w14:textId="77777777" w:rsidR="004C2238" w:rsidRDefault="006A3E1D">
      <w:pPr>
        <w:rPr>
          <w:b/>
          <w:bCs/>
          <w:sz w:val="24"/>
          <w:szCs w:val="24"/>
        </w:rPr>
      </w:pPr>
      <w:bookmarkStart w:id="6" w:name="_heading=h.2pg32doe8bt1" w:colFirst="0" w:colLast="0"/>
      <w:bookmarkEnd w:id="6"/>
      <w:proofErr w:type="spellStart"/>
      <w:r>
        <w:rPr>
          <w:b/>
          <w:bCs/>
          <w:sz w:val="24"/>
          <w:szCs w:val="24"/>
        </w:rPr>
        <w:t>Telephone</w:t>
      </w:r>
      <w:proofErr w:type="spellEnd"/>
      <w:r>
        <w:rPr>
          <w:b/>
          <w:bCs/>
          <w:sz w:val="24"/>
          <w:szCs w:val="24"/>
        </w:rPr>
        <w:t>: 202-473-1000; internet: www. Worldbank.org</w:t>
      </w:r>
    </w:p>
    <w:p w14:paraId="23CADA64" w14:textId="77777777" w:rsidR="004C2238" w:rsidRDefault="006A3E1D">
      <w:pPr>
        <w:jc w:val="both"/>
        <w:rPr>
          <w:b/>
          <w:bCs/>
          <w:sz w:val="24"/>
          <w:szCs w:val="24"/>
        </w:rPr>
      </w:pPr>
      <w:bookmarkStart w:id="7" w:name="_heading=h.ncw0j5mvsx28" w:colFirst="0" w:colLast="0"/>
      <w:bookmarkEnd w:id="7"/>
      <w:r>
        <w:rPr>
          <w:b/>
          <w:bCs/>
          <w:sz w:val="24"/>
          <w:szCs w:val="24"/>
        </w:rPr>
        <w:t xml:space="preserve"> </w:t>
      </w:r>
    </w:p>
    <w:p w14:paraId="3828E0E8" w14:textId="77777777" w:rsidR="004C2238" w:rsidRDefault="006A3E1D">
      <w:pPr>
        <w:jc w:val="both"/>
        <w:rPr>
          <w:b/>
          <w:bCs/>
          <w:sz w:val="24"/>
          <w:szCs w:val="24"/>
        </w:rPr>
      </w:pPr>
      <w:bookmarkStart w:id="8" w:name="_heading=h.fdf85m2ky7h7" w:colFirst="0" w:colLast="0"/>
      <w:bookmarkEnd w:id="8"/>
      <w:r>
        <w:rPr>
          <w:b/>
          <w:bCs/>
          <w:sz w:val="24"/>
          <w:szCs w:val="24"/>
        </w:rPr>
        <w:lastRenderedPageBreak/>
        <w:t xml:space="preserve">Los hallazgos, interpretaciones y conclusiones expresados ​​en esta publicación no deben atribuirse de ninguna manera al Banco Mundial. El material de esta obra está protegido por derechos de autor. La copia o transmisión, total o parcial, de esta obra puede constituir una infracción de la legislación aplicable. El Banco Mundial, SECO, y el  Departamento Nacional de Planeación DNP,  fomentan la difusión de esta publicación y autorizan al usuario a copiar partes de la misma para su uso personal y no comercial, sin derecho alguno a revenderla, redistribuirla ni crear obras derivadas. Cualquier otra copia o uso de esta obra requiere el permiso expreso por escrito del Banco Mundial.  </w:t>
      </w:r>
    </w:p>
    <w:p w14:paraId="1348EF10" w14:textId="77777777" w:rsidR="004C2238" w:rsidRDefault="004C2238">
      <w:pPr>
        <w:pStyle w:val="Ttulo1"/>
        <w:spacing w:before="0" w:after="160" w:line="301" w:lineRule="auto"/>
        <w:jc w:val="both"/>
        <w:rPr>
          <w:rFonts w:ascii="Arial" w:eastAsia="Arial" w:hAnsi="Arial" w:cs="Arial"/>
          <w:b/>
          <w:bCs/>
          <w:color w:val="000000"/>
          <w:sz w:val="24"/>
          <w:szCs w:val="24"/>
        </w:rPr>
      </w:pPr>
    </w:p>
    <w:p w14:paraId="7007F6ED" w14:textId="77777777" w:rsidR="004C2238" w:rsidRDefault="004C2238"/>
    <w:p w14:paraId="7C98D230" w14:textId="77777777" w:rsidR="004C2238" w:rsidRDefault="004C2238"/>
    <w:p w14:paraId="0DC47174" w14:textId="77777777" w:rsidR="004C2238" w:rsidRDefault="004C2238"/>
    <w:p w14:paraId="444125EA" w14:textId="77777777" w:rsidR="004C2238" w:rsidRDefault="004C2238"/>
    <w:p w14:paraId="12585362" w14:textId="77777777" w:rsidR="004C2238" w:rsidRDefault="004C2238"/>
    <w:p w14:paraId="6183941E" w14:textId="77777777" w:rsidR="004C2238" w:rsidRDefault="004C2238"/>
    <w:p w14:paraId="0FD6219C" w14:textId="77777777" w:rsidR="004C2238" w:rsidRDefault="004C2238"/>
    <w:p w14:paraId="24D427EE" w14:textId="77777777" w:rsidR="004C2238" w:rsidRDefault="004C2238"/>
    <w:p w14:paraId="7A0C8929" w14:textId="77777777" w:rsidR="004C2238" w:rsidRDefault="004C2238"/>
    <w:p w14:paraId="4DF6D079" w14:textId="77777777" w:rsidR="004C2238" w:rsidRDefault="004C2238"/>
    <w:p w14:paraId="10A87F10" w14:textId="77777777" w:rsidR="004C2238" w:rsidRDefault="004C2238"/>
    <w:p w14:paraId="2B1F38C5" w14:textId="77777777" w:rsidR="004C2238" w:rsidRDefault="004C2238"/>
    <w:p w14:paraId="67D19AA2" w14:textId="77777777" w:rsidR="004C2238" w:rsidRDefault="004C2238"/>
    <w:p w14:paraId="6F26141D" w14:textId="77777777" w:rsidR="004C2238" w:rsidRDefault="004C2238"/>
    <w:p w14:paraId="22DE7F84" w14:textId="77777777" w:rsidR="004C2238" w:rsidRDefault="004C2238"/>
    <w:p w14:paraId="4CCEC2D8" w14:textId="77777777" w:rsidR="004C2238" w:rsidRDefault="004C2238"/>
    <w:p w14:paraId="3315B4C8" w14:textId="77777777" w:rsidR="004C2238" w:rsidRDefault="004C2238"/>
    <w:p w14:paraId="62C52E1A" w14:textId="77777777" w:rsidR="004C2238" w:rsidRDefault="004C2238"/>
    <w:p w14:paraId="4186864B" w14:textId="77777777" w:rsidR="004C2238" w:rsidRDefault="004C2238"/>
    <w:p w14:paraId="60DAC5D5" w14:textId="77777777" w:rsidR="004C2238" w:rsidRDefault="004C2238"/>
    <w:p w14:paraId="43E46D5F" w14:textId="77777777" w:rsidR="004C2238" w:rsidRDefault="004C2238"/>
    <w:p w14:paraId="2D44AC0E" w14:textId="77777777" w:rsidR="004C2238" w:rsidRDefault="004C2238"/>
    <w:p w14:paraId="3E89670F" w14:textId="77777777" w:rsidR="004C2238" w:rsidRDefault="004C2238">
      <w:pPr>
        <w:pStyle w:val="Ttulo1"/>
        <w:rPr>
          <w:rFonts w:ascii="Arial" w:eastAsia="Arial" w:hAnsi="Arial" w:cs="Arial"/>
          <w:b/>
          <w:bCs/>
          <w:color w:val="000000"/>
          <w:sz w:val="24"/>
          <w:szCs w:val="24"/>
        </w:rPr>
      </w:pPr>
    </w:p>
    <w:p w14:paraId="35179599" w14:textId="5C1C74D2" w:rsidR="004C2238" w:rsidRDefault="004C2238"/>
    <w:p w14:paraId="75FDB8BD" w14:textId="77777777" w:rsidR="00823287" w:rsidRDefault="00823287">
      <w:pPr>
        <w:pStyle w:val="Ttulo1"/>
        <w:rPr>
          <w:rFonts w:ascii="Arial" w:eastAsia="Arial" w:hAnsi="Arial" w:cs="Arial"/>
          <w:b/>
          <w:bCs/>
          <w:color w:val="000000"/>
          <w:sz w:val="24"/>
          <w:szCs w:val="24"/>
        </w:rPr>
      </w:pPr>
    </w:p>
    <w:sdt>
      <w:sdtPr>
        <w:rPr>
          <w:rFonts w:ascii="Arial" w:eastAsia="Arial" w:hAnsi="Arial" w:cs="Arial"/>
          <w:b w:val="0"/>
          <w:bCs w:val="0"/>
          <w:color w:val="auto"/>
          <w:sz w:val="22"/>
          <w:szCs w:val="22"/>
          <w:lang w:val="es-CO"/>
        </w:rPr>
        <w:id w:val="-698318113"/>
        <w:docPartObj>
          <w:docPartGallery w:val="Table of Contents"/>
          <w:docPartUnique/>
        </w:docPartObj>
      </w:sdtPr>
      <w:sdtEndPr>
        <w:rPr>
          <w:noProof/>
        </w:rPr>
      </w:sdtEndPr>
      <w:sdtContent>
        <w:p w14:paraId="58AA65CE" w14:textId="053C08F7" w:rsidR="00823287" w:rsidRDefault="00823287">
          <w:pPr>
            <w:pStyle w:val="TtuloTDC"/>
          </w:pPr>
          <w:r>
            <w:t>Tabla de contenido</w:t>
          </w:r>
        </w:p>
        <w:p w14:paraId="6224683A" w14:textId="5A229029" w:rsidR="00823287" w:rsidRDefault="00823287">
          <w:pPr>
            <w:pStyle w:val="TDC1"/>
            <w:tabs>
              <w:tab w:val="right" w:leader="dot" w:pos="8828"/>
            </w:tabs>
            <w:rPr>
              <w:rFonts w:eastAsiaTheme="minorEastAsia" w:cstheme="minorBidi"/>
              <w:b w:val="0"/>
              <w:bCs w:val="0"/>
              <w:i w:val="0"/>
              <w:iCs w:val="0"/>
              <w:noProof/>
              <w:kern w:val="2"/>
              <w:lang w:val="es-ES"/>
              <w14:ligatures w14:val="standardContextual"/>
            </w:rPr>
          </w:pPr>
          <w:r>
            <w:rPr>
              <w:b w:val="0"/>
              <w:bCs w:val="0"/>
            </w:rPr>
            <w:fldChar w:fldCharType="begin"/>
          </w:r>
          <w:r>
            <w:instrText>TOC \o "1-3" \h \z \u</w:instrText>
          </w:r>
          <w:r>
            <w:rPr>
              <w:b w:val="0"/>
              <w:bCs w:val="0"/>
            </w:rPr>
            <w:fldChar w:fldCharType="separate"/>
          </w:r>
          <w:hyperlink w:anchor="_Toc233705369" w:history="1">
            <w:r w:rsidRPr="006C5BBA">
              <w:rPr>
                <w:rStyle w:val="Hipervnculo"/>
                <w:rFonts w:ascii="Arial" w:hAnsi="Arial"/>
                <w:noProof/>
              </w:rPr>
              <w:t>Generalidades</w:t>
            </w:r>
            <w:r>
              <w:rPr>
                <w:noProof/>
                <w:webHidden/>
              </w:rPr>
              <w:tab/>
            </w:r>
            <w:r>
              <w:rPr>
                <w:noProof/>
                <w:webHidden/>
              </w:rPr>
              <w:fldChar w:fldCharType="begin"/>
            </w:r>
            <w:r>
              <w:rPr>
                <w:noProof/>
                <w:webHidden/>
              </w:rPr>
              <w:instrText xml:space="preserve"> PAGEREF _Toc233705369 \h </w:instrText>
            </w:r>
            <w:r>
              <w:rPr>
                <w:noProof/>
                <w:webHidden/>
              </w:rPr>
            </w:r>
            <w:r>
              <w:rPr>
                <w:noProof/>
                <w:webHidden/>
              </w:rPr>
              <w:fldChar w:fldCharType="separate"/>
            </w:r>
            <w:r w:rsidR="006460B7">
              <w:rPr>
                <w:noProof/>
                <w:webHidden/>
              </w:rPr>
              <w:t>7</w:t>
            </w:r>
            <w:r>
              <w:rPr>
                <w:noProof/>
                <w:webHidden/>
              </w:rPr>
              <w:fldChar w:fldCharType="end"/>
            </w:r>
          </w:hyperlink>
        </w:p>
        <w:p w14:paraId="29BF5C94" w14:textId="0E6D453D" w:rsidR="00823287" w:rsidRDefault="00823287">
          <w:pPr>
            <w:pStyle w:val="TDC1"/>
            <w:tabs>
              <w:tab w:val="right" w:leader="dot" w:pos="8828"/>
            </w:tabs>
            <w:rPr>
              <w:rFonts w:eastAsiaTheme="minorEastAsia" w:cstheme="minorBidi"/>
              <w:b w:val="0"/>
              <w:bCs w:val="0"/>
              <w:i w:val="0"/>
              <w:iCs w:val="0"/>
              <w:noProof/>
              <w:kern w:val="2"/>
              <w:lang w:val="es-ES"/>
              <w14:ligatures w14:val="standardContextual"/>
            </w:rPr>
          </w:pPr>
          <w:hyperlink w:anchor="_Toc233705370" w:history="1">
            <w:r w:rsidRPr="006C5BBA">
              <w:rPr>
                <w:rStyle w:val="Hipervnculo"/>
                <w:rFonts w:ascii="Arial" w:hAnsi="Arial"/>
                <w:noProof/>
              </w:rPr>
              <w:t>Introducción</w:t>
            </w:r>
            <w:r>
              <w:rPr>
                <w:noProof/>
                <w:webHidden/>
              </w:rPr>
              <w:tab/>
            </w:r>
            <w:r>
              <w:rPr>
                <w:noProof/>
                <w:webHidden/>
              </w:rPr>
              <w:fldChar w:fldCharType="begin"/>
            </w:r>
            <w:r>
              <w:rPr>
                <w:noProof/>
                <w:webHidden/>
              </w:rPr>
              <w:instrText xml:space="preserve"> PAGEREF _Toc233705370 \h </w:instrText>
            </w:r>
            <w:r>
              <w:rPr>
                <w:noProof/>
                <w:webHidden/>
              </w:rPr>
            </w:r>
            <w:r>
              <w:rPr>
                <w:noProof/>
                <w:webHidden/>
              </w:rPr>
              <w:fldChar w:fldCharType="separate"/>
            </w:r>
            <w:r w:rsidR="006460B7">
              <w:rPr>
                <w:noProof/>
                <w:webHidden/>
              </w:rPr>
              <w:t>10</w:t>
            </w:r>
            <w:r>
              <w:rPr>
                <w:noProof/>
                <w:webHidden/>
              </w:rPr>
              <w:fldChar w:fldCharType="end"/>
            </w:r>
          </w:hyperlink>
        </w:p>
        <w:p w14:paraId="2D4F55A3" w14:textId="67D5F995" w:rsidR="00823287" w:rsidRDefault="00823287">
          <w:pPr>
            <w:pStyle w:val="TDC1"/>
            <w:tabs>
              <w:tab w:val="right" w:leader="dot" w:pos="8828"/>
            </w:tabs>
            <w:rPr>
              <w:rFonts w:eastAsiaTheme="minorEastAsia" w:cstheme="minorBidi"/>
              <w:b w:val="0"/>
              <w:bCs w:val="0"/>
              <w:i w:val="0"/>
              <w:iCs w:val="0"/>
              <w:noProof/>
              <w:kern w:val="2"/>
              <w:lang w:val="es-ES"/>
              <w14:ligatures w14:val="standardContextual"/>
            </w:rPr>
          </w:pPr>
          <w:hyperlink w:anchor="_Toc233705371" w:history="1">
            <w:r w:rsidRPr="006C5BBA">
              <w:rPr>
                <w:rStyle w:val="Hipervnculo"/>
                <w:rFonts w:ascii="Arial" w:hAnsi="Arial"/>
                <w:noProof/>
              </w:rPr>
              <w:t>Capítulo 1.</w:t>
            </w:r>
            <w:r>
              <w:rPr>
                <w:noProof/>
                <w:webHidden/>
              </w:rPr>
              <w:tab/>
            </w:r>
            <w:r>
              <w:rPr>
                <w:noProof/>
                <w:webHidden/>
              </w:rPr>
              <w:fldChar w:fldCharType="begin"/>
            </w:r>
            <w:r>
              <w:rPr>
                <w:noProof/>
                <w:webHidden/>
              </w:rPr>
              <w:instrText xml:space="preserve"> PAGEREF _Toc233705371 \h </w:instrText>
            </w:r>
            <w:r>
              <w:rPr>
                <w:noProof/>
                <w:webHidden/>
              </w:rPr>
            </w:r>
            <w:r>
              <w:rPr>
                <w:noProof/>
                <w:webHidden/>
              </w:rPr>
              <w:fldChar w:fldCharType="separate"/>
            </w:r>
            <w:r w:rsidR="006460B7">
              <w:rPr>
                <w:noProof/>
                <w:webHidden/>
              </w:rPr>
              <w:t>11</w:t>
            </w:r>
            <w:r>
              <w:rPr>
                <w:noProof/>
                <w:webHidden/>
              </w:rPr>
              <w:fldChar w:fldCharType="end"/>
            </w:r>
          </w:hyperlink>
        </w:p>
        <w:p w14:paraId="579506B6" w14:textId="0678738E" w:rsidR="00823287" w:rsidRDefault="00823287">
          <w:pPr>
            <w:pStyle w:val="TDC2"/>
            <w:tabs>
              <w:tab w:val="right" w:leader="dot" w:pos="8828"/>
            </w:tabs>
            <w:rPr>
              <w:rFonts w:eastAsiaTheme="minorEastAsia" w:cstheme="minorBidi"/>
              <w:b w:val="0"/>
              <w:bCs w:val="0"/>
              <w:noProof/>
              <w:kern w:val="2"/>
              <w:sz w:val="24"/>
              <w:szCs w:val="24"/>
              <w:lang w:val="es-ES"/>
              <w14:ligatures w14:val="standardContextual"/>
            </w:rPr>
          </w:pPr>
          <w:hyperlink w:anchor="_Toc233705372" w:history="1">
            <w:r w:rsidRPr="006C5BBA">
              <w:rPr>
                <w:rStyle w:val="Hipervnculo"/>
                <w:rFonts w:ascii="Arial" w:hAnsi="Arial"/>
                <w:noProof/>
              </w:rPr>
              <w:t>Generalidades y definiciones</w:t>
            </w:r>
            <w:r>
              <w:rPr>
                <w:noProof/>
                <w:webHidden/>
              </w:rPr>
              <w:tab/>
            </w:r>
            <w:r>
              <w:rPr>
                <w:noProof/>
                <w:webHidden/>
              </w:rPr>
              <w:fldChar w:fldCharType="begin"/>
            </w:r>
            <w:r>
              <w:rPr>
                <w:noProof/>
                <w:webHidden/>
              </w:rPr>
              <w:instrText xml:space="preserve"> PAGEREF _Toc233705372 \h </w:instrText>
            </w:r>
            <w:r>
              <w:rPr>
                <w:noProof/>
                <w:webHidden/>
              </w:rPr>
            </w:r>
            <w:r>
              <w:rPr>
                <w:noProof/>
                <w:webHidden/>
              </w:rPr>
              <w:fldChar w:fldCharType="separate"/>
            </w:r>
            <w:r w:rsidR="006460B7">
              <w:rPr>
                <w:noProof/>
                <w:webHidden/>
              </w:rPr>
              <w:t>11</w:t>
            </w:r>
            <w:r>
              <w:rPr>
                <w:noProof/>
                <w:webHidden/>
              </w:rPr>
              <w:fldChar w:fldCharType="end"/>
            </w:r>
          </w:hyperlink>
        </w:p>
        <w:p w14:paraId="0B2F4C50" w14:textId="7404D149" w:rsidR="00823287" w:rsidRDefault="00823287">
          <w:pPr>
            <w:pStyle w:val="TDC2"/>
            <w:tabs>
              <w:tab w:val="right" w:leader="dot" w:pos="8828"/>
            </w:tabs>
            <w:rPr>
              <w:rFonts w:eastAsiaTheme="minorEastAsia" w:cstheme="minorBidi"/>
              <w:b w:val="0"/>
              <w:bCs w:val="0"/>
              <w:noProof/>
              <w:kern w:val="2"/>
              <w:sz w:val="24"/>
              <w:szCs w:val="24"/>
              <w:lang w:val="es-ES"/>
              <w14:ligatures w14:val="standardContextual"/>
            </w:rPr>
          </w:pPr>
          <w:hyperlink w:anchor="_Toc233705373" w:history="1">
            <w:r w:rsidRPr="006C5BBA">
              <w:rPr>
                <w:rStyle w:val="Hipervnculo"/>
                <w:rFonts w:ascii="Arial" w:hAnsi="Arial"/>
                <w:noProof/>
              </w:rPr>
              <w:t>1.1. ¿Cuál es el objetivo de la cartilla?</w:t>
            </w:r>
            <w:r>
              <w:rPr>
                <w:noProof/>
                <w:webHidden/>
              </w:rPr>
              <w:tab/>
            </w:r>
            <w:r>
              <w:rPr>
                <w:noProof/>
                <w:webHidden/>
              </w:rPr>
              <w:fldChar w:fldCharType="begin"/>
            </w:r>
            <w:r>
              <w:rPr>
                <w:noProof/>
                <w:webHidden/>
              </w:rPr>
              <w:instrText xml:space="preserve"> PAGEREF _Toc233705373 \h </w:instrText>
            </w:r>
            <w:r>
              <w:rPr>
                <w:noProof/>
                <w:webHidden/>
              </w:rPr>
            </w:r>
            <w:r>
              <w:rPr>
                <w:noProof/>
                <w:webHidden/>
              </w:rPr>
              <w:fldChar w:fldCharType="separate"/>
            </w:r>
            <w:r w:rsidR="006460B7">
              <w:rPr>
                <w:noProof/>
                <w:webHidden/>
              </w:rPr>
              <w:t>11</w:t>
            </w:r>
            <w:r>
              <w:rPr>
                <w:noProof/>
                <w:webHidden/>
              </w:rPr>
              <w:fldChar w:fldCharType="end"/>
            </w:r>
          </w:hyperlink>
        </w:p>
        <w:p w14:paraId="308F4486" w14:textId="47CFECFD" w:rsidR="00823287" w:rsidRDefault="00823287">
          <w:pPr>
            <w:pStyle w:val="TDC2"/>
            <w:tabs>
              <w:tab w:val="right" w:leader="dot" w:pos="8828"/>
            </w:tabs>
            <w:rPr>
              <w:rFonts w:eastAsiaTheme="minorEastAsia" w:cstheme="minorBidi"/>
              <w:b w:val="0"/>
              <w:bCs w:val="0"/>
              <w:noProof/>
              <w:kern w:val="2"/>
              <w:sz w:val="24"/>
              <w:szCs w:val="24"/>
              <w:lang w:val="es-ES"/>
              <w14:ligatures w14:val="standardContextual"/>
            </w:rPr>
          </w:pPr>
          <w:hyperlink w:anchor="_Toc233705374" w:history="1">
            <w:r w:rsidRPr="006C5BBA">
              <w:rPr>
                <w:rStyle w:val="Hipervnculo"/>
                <w:rFonts w:ascii="Arial" w:hAnsi="Arial"/>
                <w:noProof/>
              </w:rPr>
              <w:t>1.2 .¿Cuál es el alcance y las limitaciones de la Cartilla?</w:t>
            </w:r>
            <w:r>
              <w:rPr>
                <w:noProof/>
                <w:webHidden/>
              </w:rPr>
              <w:tab/>
            </w:r>
            <w:r>
              <w:rPr>
                <w:noProof/>
                <w:webHidden/>
              </w:rPr>
              <w:fldChar w:fldCharType="begin"/>
            </w:r>
            <w:r>
              <w:rPr>
                <w:noProof/>
                <w:webHidden/>
              </w:rPr>
              <w:instrText xml:space="preserve"> PAGEREF _Toc233705374 \h </w:instrText>
            </w:r>
            <w:r>
              <w:rPr>
                <w:noProof/>
                <w:webHidden/>
              </w:rPr>
            </w:r>
            <w:r>
              <w:rPr>
                <w:noProof/>
                <w:webHidden/>
              </w:rPr>
              <w:fldChar w:fldCharType="separate"/>
            </w:r>
            <w:r w:rsidR="006460B7">
              <w:rPr>
                <w:noProof/>
                <w:webHidden/>
              </w:rPr>
              <w:t>11</w:t>
            </w:r>
            <w:r>
              <w:rPr>
                <w:noProof/>
                <w:webHidden/>
              </w:rPr>
              <w:fldChar w:fldCharType="end"/>
            </w:r>
          </w:hyperlink>
        </w:p>
        <w:p w14:paraId="034489A6" w14:textId="53CD74C9" w:rsidR="00823287" w:rsidRDefault="00823287">
          <w:pPr>
            <w:pStyle w:val="TDC2"/>
            <w:tabs>
              <w:tab w:val="right" w:leader="dot" w:pos="8828"/>
            </w:tabs>
            <w:rPr>
              <w:rFonts w:eastAsiaTheme="minorEastAsia" w:cstheme="minorBidi"/>
              <w:b w:val="0"/>
              <w:bCs w:val="0"/>
              <w:noProof/>
              <w:kern w:val="2"/>
              <w:sz w:val="24"/>
              <w:szCs w:val="24"/>
              <w:lang w:val="es-ES"/>
              <w14:ligatures w14:val="standardContextual"/>
            </w:rPr>
          </w:pPr>
          <w:hyperlink w:anchor="_Toc233705375" w:history="1">
            <w:r w:rsidRPr="006C5BBA">
              <w:rPr>
                <w:rStyle w:val="Hipervnculo"/>
                <w:rFonts w:ascii="Arial" w:hAnsi="Arial"/>
                <w:noProof/>
              </w:rPr>
              <w:t>A. El régimen de cesión y enajenación: Ley 708 de 2001</w:t>
            </w:r>
            <w:r>
              <w:rPr>
                <w:noProof/>
                <w:webHidden/>
              </w:rPr>
              <w:tab/>
            </w:r>
            <w:r>
              <w:rPr>
                <w:noProof/>
                <w:webHidden/>
              </w:rPr>
              <w:fldChar w:fldCharType="begin"/>
            </w:r>
            <w:r>
              <w:rPr>
                <w:noProof/>
                <w:webHidden/>
              </w:rPr>
              <w:instrText xml:space="preserve"> PAGEREF _Toc233705375 \h </w:instrText>
            </w:r>
            <w:r>
              <w:rPr>
                <w:noProof/>
                <w:webHidden/>
              </w:rPr>
            </w:r>
            <w:r>
              <w:rPr>
                <w:noProof/>
                <w:webHidden/>
              </w:rPr>
              <w:fldChar w:fldCharType="separate"/>
            </w:r>
            <w:r w:rsidR="006460B7">
              <w:rPr>
                <w:noProof/>
                <w:webHidden/>
              </w:rPr>
              <w:t>12</w:t>
            </w:r>
            <w:r>
              <w:rPr>
                <w:noProof/>
                <w:webHidden/>
              </w:rPr>
              <w:fldChar w:fldCharType="end"/>
            </w:r>
          </w:hyperlink>
        </w:p>
        <w:p w14:paraId="776144EC" w14:textId="28FC8F88" w:rsidR="00823287" w:rsidRDefault="00823287">
          <w:pPr>
            <w:pStyle w:val="TDC2"/>
            <w:tabs>
              <w:tab w:val="right" w:leader="dot" w:pos="8828"/>
            </w:tabs>
            <w:rPr>
              <w:rFonts w:eastAsiaTheme="minorEastAsia" w:cstheme="minorBidi"/>
              <w:b w:val="0"/>
              <w:bCs w:val="0"/>
              <w:noProof/>
              <w:kern w:val="2"/>
              <w:sz w:val="24"/>
              <w:szCs w:val="24"/>
              <w:lang w:val="es-ES"/>
              <w14:ligatures w14:val="standardContextual"/>
            </w:rPr>
          </w:pPr>
          <w:hyperlink w:anchor="_Toc233705376" w:history="1">
            <w:r w:rsidRPr="006C5BBA">
              <w:rPr>
                <w:rStyle w:val="Hipervnculo"/>
                <w:rFonts w:ascii="Arial" w:hAnsi="Arial"/>
                <w:noProof/>
              </w:rPr>
              <w:t>B. Operatividad del procedimiento: Decreto 523 de 2021</w:t>
            </w:r>
            <w:r>
              <w:rPr>
                <w:noProof/>
                <w:webHidden/>
              </w:rPr>
              <w:tab/>
            </w:r>
            <w:r>
              <w:rPr>
                <w:noProof/>
                <w:webHidden/>
              </w:rPr>
              <w:fldChar w:fldCharType="begin"/>
            </w:r>
            <w:r>
              <w:rPr>
                <w:noProof/>
                <w:webHidden/>
              </w:rPr>
              <w:instrText xml:space="preserve"> PAGEREF _Toc233705376 \h </w:instrText>
            </w:r>
            <w:r>
              <w:rPr>
                <w:noProof/>
                <w:webHidden/>
              </w:rPr>
            </w:r>
            <w:r>
              <w:rPr>
                <w:noProof/>
                <w:webHidden/>
              </w:rPr>
              <w:fldChar w:fldCharType="separate"/>
            </w:r>
            <w:r w:rsidR="006460B7">
              <w:rPr>
                <w:noProof/>
                <w:webHidden/>
              </w:rPr>
              <w:t>12</w:t>
            </w:r>
            <w:r>
              <w:rPr>
                <w:noProof/>
                <w:webHidden/>
              </w:rPr>
              <w:fldChar w:fldCharType="end"/>
            </w:r>
          </w:hyperlink>
        </w:p>
        <w:p w14:paraId="699E0499" w14:textId="009F1B05" w:rsidR="00823287" w:rsidRDefault="00823287">
          <w:pPr>
            <w:pStyle w:val="TDC2"/>
            <w:tabs>
              <w:tab w:val="right" w:leader="dot" w:pos="8828"/>
            </w:tabs>
            <w:rPr>
              <w:rFonts w:eastAsiaTheme="minorEastAsia" w:cstheme="minorBidi"/>
              <w:b w:val="0"/>
              <w:bCs w:val="0"/>
              <w:noProof/>
              <w:kern w:val="2"/>
              <w:sz w:val="24"/>
              <w:szCs w:val="24"/>
              <w:lang w:val="es-ES"/>
              <w14:ligatures w14:val="standardContextual"/>
            </w:rPr>
          </w:pPr>
          <w:hyperlink w:anchor="_Toc233705377" w:history="1">
            <w:r w:rsidRPr="006C5BBA">
              <w:rPr>
                <w:rStyle w:val="Hipervnculo"/>
                <w:rFonts w:ascii="Arial" w:hAnsi="Arial"/>
                <w:noProof/>
              </w:rPr>
              <w:t>C. Fortalecimiento institucional y vivienda: Ley 2044 de 2020</w:t>
            </w:r>
            <w:r>
              <w:rPr>
                <w:noProof/>
                <w:webHidden/>
              </w:rPr>
              <w:tab/>
            </w:r>
            <w:r>
              <w:rPr>
                <w:noProof/>
                <w:webHidden/>
              </w:rPr>
              <w:fldChar w:fldCharType="begin"/>
            </w:r>
            <w:r>
              <w:rPr>
                <w:noProof/>
                <w:webHidden/>
              </w:rPr>
              <w:instrText xml:space="preserve"> PAGEREF _Toc233705377 \h </w:instrText>
            </w:r>
            <w:r>
              <w:rPr>
                <w:noProof/>
                <w:webHidden/>
              </w:rPr>
            </w:r>
            <w:r>
              <w:rPr>
                <w:noProof/>
                <w:webHidden/>
              </w:rPr>
              <w:fldChar w:fldCharType="separate"/>
            </w:r>
            <w:r w:rsidR="006460B7">
              <w:rPr>
                <w:noProof/>
                <w:webHidden/>
              </w:rPr>
              <w:t>12</w:t>
            </w:r>
            <w:r>
              <w:rPr>
                <w:noProof/>
                <w:webHidden/>
              </w:rPr>
              <w:fldChar w:fldCharType="end"/>
            </w:r>
          </w:hyperlink>
        </w:p>
        <w:p w14:paraId="6E2363E1" w14:textId="3100E1C9" w:rsidR="00823287" w:rsidRDefault="00823287">
          <w:pPr>
            <w:pStyle w:val="TDC2"/>
            <w:tabs>
              <w:tab w:val="right" w:leader="dot" w:pos="8828"/>
            </w:tabs>
            <w:rPr>
              <w:rFonts w:eastAsiaTheme="minorEastAsia" w:cstheme="minorBidi"/>
              <w:b w:val="0"/>
              <w:bCs w:val="0"/>
              <w:noProof/>
              <w:kern w:val="2"/>
              <w:sz w:val="24"/>
              <w:szCs w:val="24"/>
              <w:lang w:val="es-ES"/>
              <w14:ligatures w14:val="standardContextual"/>
            </w:rPr>
          </w:pPr>
          <w:hyperlink w:anchor="_Toc233705378" w:history="1">
            <w:r w:rsidRPr="006C5BBA">
              <w:rPr>
                <w:rStyle w:val="Hipervnculo"/>
                <w:rFonts w:ascii="Arial" w:hAnsi="Arial"/>
                <w:noProof/>
              </w:rPr>
              <w:t>1.4 Conceptos básicos</w:t>
            </w:r>
            <w:r>
              <w:rPr>
                <w:noProof/>
                <w:webHidden/>
              </w:rPr>
              <w:tab/>
            </w:r>
            <w:r>
              <w:rPr>
                <w:noProof/>
                <w:webHidden/>
              </w:rPr>
              <w:fldChar w:fldCharType="begin"/>
            </w:r>
            <w:r>
              <w:rPr>
                <w:noProof/>
                <w:webHidden/>
              </w:rPr>
              <w:instrText xml:space="preserve"> PAGEREF _Toc233705378 \h </w:instrText>
            </w:r>
            <w:r>
              <w:rPr>
                <w:noProof/>
                <w:webHidden/>
              </w:rPr>
            </w:r>
            <w:r>
              <w:rPr>
                <w:noProof/>
                <w:webHidden/>
              </w:rPr>
              <w:fldChar w:fldCharType="separate"/>
            </w:r>
            <w:r w:rsidR="006460B7">
              <w:rPr>
                <w:noProof/>
                <w:webHidden/>
              </w:rPr>
              <w:t>13</w:t>
            </w:r>
            <w:r>
              <w:rPr>
                <w:noProof/>
                <w:webHidden/>
              </w:rPr>
              <w:fldChar w:fldCharType="end"/>
            </w:r>
          </w:hyperlink>
        </w:p>
        <w:p w14:paraId="5EBBAA12" w14:textId="23FD35D7" w:rsidR="00823287" w:rsidRDefault="00823287">
          <w:pPr>
            <w:pStyle w:val="TDC1"/>
            <w:tabs>
              <w:tab w:val="right" w:leader="dot" w:pos="8828"/>
            </w:tabs>
            <w:rPr>
              <w:rFonts w:eastAsiaTheme="minorEastAsia" w:cstheme="minorBidi"/>
              <w:b w:val="0"/>
              <w:bCs w:val="0"/>
              <w:i w:val="0"/>
              <w:iCs w:val="0"/>
              <w:noProof/>
              <w:kern w:val="2"/>
              <w:lang w:val="es-ES"/>
              <w14:ligatures w14:val="standardContextual"/>
            </w:rPr>
          </w:pPr>
          <w:hyperlink w:anchor="_Toc233705379" w:history="1">
            <w:r w:rsidRPr="006C5BBA">
              <w:rPr>
                <w:rStyle w:val="Hipervnculo"/>
                <w:rFonts w:ascii="Arial" w:hAnsi="Arial"/>
                <w:noProof/>
              </w:rPr>
              <w:t>Capítulo 2</w:t>
            </w:r>
            <w:r>
              <w:rPr>
                <w:noProof/>
                <w:webHidden/>
              </w:rPr>
              <w:tab/>
            </w:r>
            <w:r>
              <w:rPr>
                <w:noProof/>
                <w:webHidden/>
              </w:rPr>
              <w:fldChar w:fldCharType="begin"/>
            </w:r>
            <w:r>
              <w:rPr>
                <w:noProof/>
                <w:webHidden/>
              </w:rPr>
              <w:instrText xml:space="preserve"> PAGEREF _Toc233705379 \h </w:instrText>
            </w:r>
            <w:r>
              <w:rPr>
                <w:noProof/>
                <w:webHidden/>
              </w:rPr>
            </w:r>
            <w:r>
              <w:rPr>
                <w:noProof/>
                <w:webHidden/>
              </w:rPr>
              <w:fldChar w:fldCharType="separate"/>
            </w:r>
            <w:r w:rsidR="006460B7">
              <w:rPr>
                <w:noProof/>
                <w:webHidden/>
              </w:rPr>
              <w:t>15</w:t>
            </w:r>
            <w:r>
              <w:rPr>
                <w:noProof/>
                <w:webHidden/>
              </w:rPr>
              <w:fldChar w:fldCharType="end"/>
            </w:r>
          </w:hyperlink>
        </w:p>
        <w:p w14:paraId="60784DA1" w14:textId="407F1E16" w:rsidR="00823287" w:rsidRDefault="00823287">
          <w:pPr>
            <w:pStyle w:val="TDC1"/>
            <w:tabs>
              <w:tab w:val="right" w:leader="dot" w:pos="8828"/>
            </w:tabs>
            <w:rPr>
              <w:rFonts w:eastAsiaTheme="minorEastAsia" w:cstheme="minorBidi"/>
              <w:b w:val="0"/>
              <w:bCs w:val="0"/>
              <w:i w:val="0"/>
              <w:iCs w:val="0"/>
              <w:noProof/>
              <w:kern w:val="2"/>
              <w:lang w:val="es-ES"/>
              <w14:ligatures w14:val="standardContextual"/>
            </w:rPr>
          </w:pPr>
          <w:hyperlink w:anchor="_Toc233705380" w:history="1">
            <w:r w:rsidRPr="006C5BBA">
              <w:rPr>
                <w:rStyle w:val="Hipervnculo"/>
                <w:rFonts w:ascii="Arial" w:hAnsi="Arial"/>
                <w:noProof/>
              </w:rPr>
              <w:t>Pasos para la Enajenación Directa de Bienes Fiscales</w:t>
            </w:r>
            <w:r>
              <w:rPr>
                <w:noProof/>
                <w:webHidden/>
              </w:rPr>
              <w:tab/>
            </w:r>
            <w:r>
              <w:rPr>
                <w:noProof/>
                <w:webHidden/>
              </w:rPr>
              <w:fldChar w:fldCharType="begin"/>
            </w:r>
            <w:r>
              <w:rPr>
                <w:noProof/>
                <w:webHidden/>
              </w:rPr>
              <w:instrText xml:space="preserve"> PAGEREF _Toc233705380 \h </w:instrText>
            </w:r>
            <w:r>
              <w:rPr>
                <w:noProof/>
                <w:webHidden/>
              </w:rPr>
            </w:r>
            <w:r>
              <w:rPr>
                <w:noProof/>
                <w:webHidden/>
              </w:rPr>
              <w:fldChar w:fldCharType="separate"/>
            </w:r>
            <w:r w:rsidR="006460B7">
              <w:rPr>
                <w:noProof/>
                <w:webHidden/>
              </w:rPr>
              <w:t>15</w:t>
            </w:r>
            <w:r>
              <w:rPr>
                <w:noProof/>
                <w:webHidden/>
              </w:rPr>
              <w:fldChar w:fldCharType="end"/>
            </w:r>
          </w:hyperlink>
        </w:p>
        <w:p w14:paraId="0246F235" w14:textId="2D1CAE2C" w:rsidR="00823287" w:rsidRDefault="00823287">
          <w:pPr>
            <w:pStyle w:val="TDC2"/>
            <w:tabs>
              <w:tab w:val="right" w:leader="dot" w:pos="8828"/>
            </w:tabs>
            <w:rPr>
              <w:rFonts w:eastAsiaTheme="minorEastAsia" w:cstheme="minorBidi"/>
              <w:b w:val="0"/>
              <w:bCs w:val="0"/>
              <w:noProof/>
              <w:kern w:val="2"/>
              <w:sz w:val="24"/>
              <w:szCs w:val="24"/>
              <w:lang w:val="es-ES"/>
              <w14:ligatures w14:val="standardContextual"/>
            </w:rPr>
          </w:pPr>
          <w:hyperlink w:anchor="_Toc233705381" w:history="1">
            <w:r w:rsidRPr="006C5BBA">
              <w:rPr>
                <w:rStyle w:val="Hipervnculo"/>
                <w:rFonts w:ascii="Arial" w:hAnsi="Arial"/>
                <w:noProof/>
              </w:rPr>
              <w:t>Paso 1. Verificación de competencias y autorizaciones</w:t>
            </w:r>
            <w:r>
              <w:rPr>
                <w:noProof/>
                <w:webHidden/>
              </w:rPr>
              <w:tab/>
            </w:r>
            <w:r>
              <w:rPr>
                <w:noProof/>
                <w:webHidden/>
              </w:rPr>
              <w:fldChar w:fldCharType="begin"/>
            </w:r>
            <w:r>
              <w:rPr>
                <w:noProof/>
                <w:webHidden/>
              </w:rPr>
              <w:instrText xml:space="preserve"> PAGEREF _Toc233705381 \h </w:instrText>
            </w:r>
            <w:r>
              <w:rPr>
                <w:noProof/>
                <w:webHidden/>
              </w:rPr>
            </w:r>
            <w:r>
              <w:rPr>
                <w:noProof/>
                <w:webHidden/>
              </w:rPr>
              <w:fldChar w:fldCharType="separate"/>
            </w:r>
            <w:r w:rsidR="006460B7">
              <w:rPr>
                <w:noProof/>
                <w:webHidden/>
              </w:rPr>
              <w:t>16</w:t>
            </w:r>
            <w:r>
              <w:rPr>
                <w:noProof/>
                <w:webHidden/>
              </w:rPr>
              <w:fldChar w:fldCharType="end"/>
            </w:r>
          </w:hyperlink>
        </w:p>
        <w:p w14:paraId="76C69120" w14:textId="1D593709" w:rsidR="00823287" w:rsidRDefault="00823287">
          <w:pPr>
            <w:pStyle w:val="TDC2"/>
            <w:tabs>
              <w:tab w:val="right" w:leader="dot" w:pos="8828"/>
            </w:tabs>
            <w:rPr>
              <w:rFonts w:eastAsiaTheme="minorEastAsia" w:cstheme="minorBidi"/>
              <w:b w:val="0"/>
              <w:bCs w:val="0"/>
              <w:noProof/>
              <w:kern w:val="2"/>
              <w:sz w:val="24"/>
              <w:szCs w:val="24"/>
              <w:lang w:val="es-ES"/>
              <w14:ligatures w14:val="standardContextual"/>
            </w:rPr>
          </w:pPr>
          <w:hyperlink w:anchor="_Toc233705382" w:history="1">
            <w:r w:rsidRPr="006C5BBA">
              <w:rPr>
                <w:rStyle w:val="Hipervnculo"/>
                <w:rFonts w:ascii="Arial" w:hAnsi="Arial"/>
                <w:noProof/>
              </w:rPr>
              <w:t>Paso 2. Identificación, estudios técnicos, jurídicos y saneamiento del bien</w:t>
            </w:r>
            <w:r>
              <w:rPr>
                <w:noProof/>
                <w:webHidden/>
              </w:rPr>
              <w:tab/>
            </w:r>
            <w:r>
              <w:rPr>
                <w:noProof/>
                <w:webHidden/>
              </w:rPr>
              <w:fldChar w:fldCharType="begin"/>
            </w:r>
            <w:r>
              <w:rPr>
                <w:noProof/>
                <w:webHidden/>
              </w:rPr>
              <w:instrText xml:space="preserve"> PAGEREF _Toc233705382 \h </w:instrText>
            </w:r>
            <w:r>
              <w:rPr>
                <w:noProof/>
                <w:webHidden/>
              </w:rPr>
            </w:r>
            <w:r>
              <w:rPr>
                <w:noProof/>
                <w:webHidden/>
              </w:rPr>
              <w:fldChar w:fldCharType="separate"/>
            </w:r>
            <w:r w:rsidR="006460B7">
              <w:rPr>
                <w:noProof/>
                <w:webHidden/>
              </w:rPr>
              <w:t>17</w:t>
            </w:r>
            <w:r>
              <w:rPr>
                <w:noProof/>
                <w:webHidden/>
              </w:rPr>
              <w:fldChar w:fldCharType="end"/>
            </w:r>
          </w:hyperlink>
        </w:p>
        <w:p w14:paraId="3ABA6978" w14:textId="3C3B4340" w:rsidR="00823287" w:rsidRDefault="00823287">
          <w:pPr>
            <w:pStyle w:val="TDC2"/>
            <w:tabs>
              <w:tab w:val="right" w:leader="dot" w:pos="8828"/>
            </w:tabs>
            <w:rPr>
              <w:rFonts w:eastAsiaTheme="minorEastAsia" w:cstheme="minorBidi"/>
              <w:b w:val="0"/>
              <w:bCs w:val="0"/>
              <w:noProof/>
              <w:kern w:val="2"/>
              <w:sz w:val="24"/>
              <w:szCs w:val="24"/>
              <w:lang w:val="es-ES"/>
              <w14:ligatures w14:val="standardContextual"/>
            </w:rPr>
          </w:pPr>
          <w:hyperlink w:anchor="_Toc233705383" w:history="1">
            <w:r w:rsidRPr="006C5BBA">
              <w:rPr>
                <w:rStyle w:val="Hipervnculo"/>
                <w:rFonts w:ascii="Arial" w:hAnsi="Arial"/>
                <w:noProof/>
              </w:rPr>
              <w:t>Paso 3.  Informe técnico jurídico de soporte para la enajenación directa</w:t>
            </w:r>
            <w:r>
              <w:rPr>
                <w:noProof/>
                <w:webHidden/>
              </w:rPr>
              <w:tab/>
            </w:r>
            <w:r>
              <w:rPr>
                <w:noProof/>
                <w:webHidden/>
              </w:rPr>
              <w:fldChar w:fldCharType="begin"/>
            </w:r>
            <w:r>
              <w:rPr>
                <w:noProof/>
                <w:webHidden/>
              </w:rPr>
              <w:instrText xml:space="preserve"> PAGEREF _Toc233705383 \h </w:instrText>
            </w:r>
            <w:r>
              <w:rPr>
                <w:noProof/>
                <w:webHidden/>
              </w:rPr>
            </w:r>
            <w:r>
              <w:rPr>
                <w:noProof/>
                <w:webHidden/>
              </w:rPr>
              <w:fldChar w:fldCharType="separate"/>
            </w:r>
            <w:r w:rsidR="006460B7">
              <w:rPr>
                <w:noProof/>
                <w:webHidden/>
              </w:rPr>
              <w:t>18</w:t>
            </w:r>
            <w:r>
              <w:rPr>
                <w:noProof/>
                <w:webHidden/>
              </w:rPr>
              <w:fldChar w:fldCharType="end"/>
            </w:r>
          </w:hyperlink>
        </w:p>
        <w:p w14:paraId="1C6D0021" w14:textId="20A8EC4B" w:rsidR="00823287" w:rsidRDefault="00823287">
          <w:pPr>
            <w:pStyle w:val="TDC2"/>
            <w:tabs>
              <w:tab w:val="right" w:leader="dot" w:pos="8828"/>
            </w:tabs>
            <w:rPr>
              <w:rFonts w:eastAsiaTheme="minorEastAsia" w:cstheme="minorBidi"/>
              <w:b w:val="0"/>
              <w:bCs w:val="0"/>
              <w:noProof/>
              <w:kern w:val="2"/>
              <w:sz w:val="24"/>
              <w:szCs w:val="24"/>
              <w:lang w:val="es-ES"/>
              <w14:ligatures w14:val="standardContextual"/>
            </w:rPr>
          </w:pPr>
          <w:hyperlink w:anchor="_Toc233705384" w:history="1">
            <w:r w:rsidRPr="006C5BBA">
              <w:rPr>
                <w:rStyle w:val="Hipervnculo"/>
                <w:rFonts w:ascii="Arial" w:hAnsi="Arial"/>
                <w:noProof/>
              </w:rPr>
              <w:t>Paso 4. Identificación del(los) ocupante(s) y oferta</w:t>
            </w:r>
            <w:r>
              <w:rPr>
                <w:noProof/>
                <w:webHidden/>
              </w:rPr>
              <w:tab/>
            </w:r>
            <w:r>
              <w:rPr>
                <w:noProof/>
                <w:webHidden/>
              </w:rPr>
              <w:fldChar w:fldCharType="begin"/>
            </w:r>
            <w:r>
              <w:rPr>
                <w:noProof/>
                <w:webHidden/>
              </w:rPr>
              <w:instrText xml:space="preserve"> PAGEREF _Toc233705384 \h </w:instrText>
            </w:r>
            <w:r>
              <w:rPr>
                <w:noProof/>
                <w:webHidden/>
              </w:rPr>
            </w:r>
            <w:r>
              <w:rPr>
                <w:noProof/>
                <w:webHidden/>
              </w:rPr>
              <w:fldChar w:fldCharType="separate"/>
            </w:r>
            <w:r w:rsidR="006460B7">
              <w:rPr>
                <w:noProof/>
                <w:webHidden/>
              </w:rPr>
              <w:t>18</w:t>
            </w:r>
            <w:r>
              <w:rPr>
                <w:noProof/>
                <w:webHidden/>
              </w:rPr>
              <w:fldChar w:fldCharType="end"/>
            </w:r>
          </w:hyperlink>
        </w:p>
        <w:p w14:paraId="1CAABC2B" w14:textId="05B71712" w:rsidR="00823287" w:rsidRDefault="00823287">
          <w:pPr>
            <w:pStyle w:val="TDC2"/>
            <w:tabs>
              <w:tab w:val="right" w:leader="dot" w:pos="8828"/>
            </w:tabs>
            <w:rPr>
              <w:rFonts w:eastAsiaTheme="minorEastAsia" w:cstheme="minorBidi"/>
              <w:b w:val="0"/>
              <w:bCs w:val="0"/>
              <w:noProof/>
              <w:kern w:val="2"/>
              <w:sz w:val="24"/>
              <w:szCs w:val="24"/>
              <w:lang w:val="es-ES"/>
              <w14:ligatures w14:val="standardContextual"/>
            </w:rPr>
          </w:pPr>
          <w:hyperlink w:anchor="_Toc233705385" w:history="1">
            <w:r w:rsidRPr="006C5BBA">
              <w:rPr>
                <w:rStyle w:val="Hipervnculo"/>
                <w:rFonts w:ascii="Arial" w:hAnsi="Arial"/>
                <w:noProof/>
              </w:rPr>
              <w:t>Paso 5. Expedir resolución de enajenación</w:t>
            </w:r>
            <w:r>
              <w:rPr>
                <w:noProof/>
                <w:webHidden/>
              </w:rPr>
              <w:tab/>
            </w:r>
            <w:r>
              <w:rPr>
                <w:noProof/>
                <w:webHidden/>
              </w:rPr>
              <w:fldChar w:fldCharType="begin"/>
            </w:r>
            <w:r>
              <w:rPr>
                <w:noProof/>
                <w:webHidden/>
              </w:rPr>
              <w:instrText xml:space="preserve"> PAGEREF _Toc233705385 \h </w:instrText>
            </w:r>
            <w:r>
              <w:rPr>
                <w:noProof/>
                <w:webHidden/>
              </w:rPr>
            </w:r>
            <w:r>
              <w:rPr>
                <w:noProof/>
                <w:webHidden/>
              </w:rPr>
              <w:fldChar w:fldCharType="separate"/>
            </w:r>
            <w:r w:rsidR="006460B7">
              <w:rPr>
                <w:noProof/>
                <w:webHidden/>
              </w:rPr>
              <w:t>19</w:t>
            </w:r>
            <w:r>
              <w:rPr>
                <w:noProof/>
                <w:webHidden/>
              </w:rPr>
              <w:fldChar w:fldCharType="end"/>
            </w:r>
          </w:hyperlink>
        </w:p>
        <w:p w14:paraId="5D0190B7" w14:textId="2336451F" w:rsidR="00823287" w:rsidRDefault="00823287">
          <w:pPr>
            <w:pStyle w:val="TDC2"/>
            <w:tabs>
              <w:tab w:val="right" w:leader="dot" w:pos="8828"/>
            </w:tabs>
            <w:rPr>
              <w:rFonts w:eastAsiaTheme="minorEastAsia" w:cstheme="minorBidi"/>
              <w:b w:val="0"/>
              <w:bCs w:val="0"/>
              <w:noProof/>
              <w:kern w:val="2"/>
              <w:sz w:val="24"/>
              <w:szCs w:val="24"/>
              <w:lang w:val="es-ES"/>
              <w14:ligatures w14:val="standardContextual"/>
            </w:rPr>
          </w:pPr>
          <w:hyperlink w:anchor="_Toc233705386" w:history="1">
            <w:r w:rsidRPr="006C5BBA">
              <w:rPr>
                <w:rStyle w:val="Hipervnculo"/>
                <w:rFonts w:ascii="Arial" w:hAnsi="Arial"/>
                <w:noProof/>
              </w:rPr>
              <w:t>Paso 6. Remisión a registro y al gestor catastral</w:t>
            </w:r>
            <w:r>
              <w:rPr>
                <w:noProof/>
                <w:webHidden/>
              </w:rPr>
              <w:tab/>
            </w:r>
            <w:r>
              <w:rPr>
                <w:noProof/>
                <w:webHidden/>
              </w:rPr>
              <w:fldChar w:fldCharType="begin"/>
            </w:r>
            <w:r>
              <w:rPr>
                <w:noProof/>
                <w:webHidden/>
              </w:rPr>
              <w:instrText xml:space="preserve"> PAGEREF _Toc233705386 \h </w:instrText>
            </w:r>
            <w:r>
              <w:rPr>
                <w:noProof/>
                <w:webHidden/>
              </w:rPr>
            </w:r>
            <w:r>
              <w:rPr>
                <w:noProof/>
                <w:webHidden/>
              </w:rPr>
              <w:fldChar w:fldCharType="separate"/>
            </w:r>
            <w:r w:rsidR="006460B7">
              <w:rPr>
                <w:noProof/>
                <w:webHidden/>
              </w:rPr>
              <w:t>20</w:t>
            </w:r>
            <w:r>
              <w:rPr>
                <w:noProof/>
                <w:webHidden/>
              </w:rPr>
              <w:fldChar w:fldCharType="end"/>
            </w:r>
          </w:hyperlink>
        </w:p>
        <w:p w14:paraId="2019A72E" w14:textId="54C19DFD" w:rsidR="00823287" w:rsidRDefault="00823287">
          <w:pPr>
            <w:pStyle w:val="TDC2"/>
            <w:tabs>
              <w:tab w:val="right" w:leader="dot" w:pos="8828"/>
            </w:tabs>
            <w:rPr>
              <w:rFonts w:eastAsiaTheme="minorEastAsia" w:cstheme="minorBidi"/>
              <w:b w:val="0"/>
              <w:bCs w:val="0"/>
              <w:noProof/>
              <w:kern w:val="2"/>
              <w:sz w:val="24"/>
              <w:szCs w:val="24"/>
              <w:lang w:val="es-ES"/>
              <w14:ligatures w14:val="standardContextual"/>
            </w:rPr>
          </w:pPr>
          <w:hyperlink w:anchor="_Toc233705387" w:history="1">
            <w:r w:rsidRPr="006C5BBA">
              <w:rPr>
                <w:rStyle w:val="Hipervnculo"/>
                <w:rFonts w:ascii="Arial" w:hAnsi="Arial"/>
                <w:noProof/>
              </w:rPr>
              <w:t>Paso 7. Actualización del inventario municipal.</w:t>
            </w:r>
            <w:r>
              <w:rPr>
                <w:noProof/>
                <w:webHidden/>
              </w:rPr>
              <w:tab/>
            </w:r>
            <w:r>
              <w:rPr>
                <w:noProof/>
                <w:webHidden/>
              </w:rPr>
              <w:fldChar w:fldCharType="begin"/>
            </w:r>
            <w:r>
              <w:rPr>
                <w:noProof/>
                <w:webHidden/>
              </w:rPr>
              <w:instrText xml:space="preserve"> PAGEREF _Toc233705387 \h </w:instrText>
            </w:r>
            <w:r>
              <w:rPr>
                <w:noProof/>
                <w:webHidden/>
              </w:rPr>
            </w:r>
            <w:r>
              <w:rPr>
                <w:noProof/>
                <w:webHidden/>
              </w:rPr>
              <w:fldChar w:fldCharType="separate"/>
            </w:r>
            <w:r w:rsidR="006460B7">
              <w:rPr>
                <w:noProof/>
                <w:webHidden/>
              </w:rPr>
              <w:t>20</w:t>
            </w:r>
            <w:r>
              <w:rPr>
                <w:noProof/>
                <w:webHidden/>
              </w:rPr>
              <w:fldChar w:fldCharType="end"/>
            </w:r>
          </w:hyperlink>
        </w:p>
        <w:p w14:paraId="132F5C5E" w14:textId="291EACC1" w:rsidR="00823287" w:rsidRDefault="00823287">
          <w:pPr>
            <w:pStyle w:val="TDC1"/>
            <w:tabs>
              <w:tab w:val="right" w:leader="dot" w:pos="8828"/>
            </w:tabs>
            <w:rPr>
              <w:rFonts w:eastAsiaTheme="minorEastAsia" w:cstheme="minorBidi"/>
              <w:b w:val="0"/>
              <w:bCs w:val="0"/>
              <w:i w:val="0"/>
              <w:iCs w:val="0"/>
              <w:noProof/>
              <w:kern w:val="2"/>
              <w:lang w:val="es-ES"/>
              <w14:ligatures w14:val="standardContextual"/>
            </w:rPr>
          </w:pPr>
          <w:hyperlink w:anchor="_Toc233705388" w:history="1">
            <w:r w:rsidRPr="006C5BBA">
              <w:rPr>
                <w:rStyle w:val="Hipervnculo"/>
                <w:rFonts w:ascii="Arial" w:hAnsi="Arial"/>
                <w:noProof/>
              </w:rPr>
              <w:t>Anexo 1.  Soporte normativo</w:t>
            </w:r>
            <w:r>
              <w:rPr>
                <w:noProof/>
                <w:webHidden/>
              </w:rPr>
              <w:tab/>
            </w:r>
            <w:r>
              <w:rPr>
                <w:noProof/>
                <w:webHidden/>
              </w:rPr>
              <w:fldChar w:fldCharType="begin"/>
            </w:r>
            <w:r>
              <w:rPr>
                <w:noProof/>
                <w:webHidden/>
              </w:rPr>
              <w:instrText xml:space="preserve"> PAGEREF _Toc233705388 \h </w:instrText>
            </w:r>
            <w:r>
              <w:rPr>
                <w:noProof/>
                <w:webHidden/>
              </w:rPr>
            </w:r>
            <w:r>
              <w:rPr>
                <w:noProof/>
                <w:webHidden/>
              </w:rPr>
              <w:fldChar w:fldCharType="separate"/>
            </w:r>
            <w:r w:rsidR="006460B7">
              <w:rPr>
                <w:noProof/>
                <w:webHidden/>
              </w:rPr>
              <w:t>21</w:t>
            </w:r>
            <w:r>
              <w:rPr>
                <w:noProof/>
                <w:webHidden/>
              </w:rPr>
              <w:fldChar w:fldCharType="end"/>
            </w:r>
          </w:hyperlink>
        </w:p>
        <w:p w14:paraId="1C1081A8" w14:textId="1AF72EA9" w:rsidR="00823287" w:rsidRDefault="00823287">
          <w:r>
            <w:rPr>
              <w:b/>
              <w:bCs/>
              <w:noProof/>
            </w:rPr>
            <w:fldChar w:fldCharType="end"/>
          </w:r>
        </w:p>
      </w:sdtContent>
    </w:sdt>
    <w:p w14:paraId="670F0D49" w14:textId="77777777" w:rsidR="004C2238" w:rsidRDefault="004C2238"/>
    <w:p w14:paraId="232D09C5" w14:textId="77777777" w:rsidR="00823287" w:rsidRDefault="00823287"/>
    <w:p w14:paraId="477D9976" w14:textId="77777777" w:rsidR="004C2238" w:rsidRDefault="006A3E1D">
      <w:pPr>
        <w:pStyle w:val="Ttulo1"/>
        <w:rPr>
          <w:rFonts w:ascii="Arial" w:eastAsia="Arial" w:hAnsi="Arial" w:cs="Arial"/>
          <w:b/>
          <w:bCs/>
          <w:color w:val="000000"/>
          <w:sz w:val="24"/>
          <w:szCs w:val="24"/>
        </w:rPr>
      </w:pPr>
      <w:bookmarkStart w:id="9" w:name="_Toc233705369"/>
      <w:r>
        <w:rPr>
          <w:rFonts w:ascii="Arial" w:eastAsia="Arial" w:hAnsi="Arial" w:cs="Arial"/>
          <w:b/>
          <w:bCs/>
          <w:color w:val="000000"/>
          <w:sz w:val="24"/>
          <w:szCs w:val="24"/>
        </w:rPr>
        <w:lastRenderedPageBreak/>
        <w:t>Generalidades</w:t>
      </w:r>
      <w:bookmarkEnd w:id="9"/>
      <w:r>
        <w:rPr>
          <w:rFonts w:ascii="Arial" w:eastAsia="Arial" w:hAnsi="Arial" w:cs="Arial"/>
          <w:b/>
          <w:bCs/>
          <w:color w:val="000000"/>
          <w:sz w:val="24"/>
          <w:szCs w:val="24"/>
        </w:rPr>
        <w:t xml:space="preserve"> </w:t>
      </w:r>
    </w:p>
    <w:p w14:paraId="38752BF2" w14:textId="77777777" w:rsidR="004C2238" w:rsidRPr="00823287" w:rsidRDefault="006A3E1D" w:rsidP="00823287">
      <w:pPr>
        <w:jc w:val="both"/>
        <w:rPr>
          <w:sz w:val="24"/>
          <w:szCs w:val="24"/>
        </w:rPr>
      </w:pPr>
      <w:r w:rsidRPr="00823287">
        <w:rPr>
          <w:sz w:val="24"/>
          <w:szCs w:val="24"/>
        </w:rPr>
        <w:t xml:space="preserve">La Caja de Herramientas </w:t>
      </w:r>
      <w:proofErr w:type="spellStart"/>
      <w:r w:rsidRPr="00823287">
        <w:rPr>
          <w:sz w:val="24"/>
          <w:szCs w:val="24"/>
        </w:rPr>
        <w:t>CiuData</w:t>
      </w:r>
      <w:proofErr w:type="spellEnd"/>
      <w:r w:rsidRPr="00823287">
        <w:rPr>
          <w:sz w:val="24"/>
          <w:szCs w:val="24"/>
        </w:rPr>
        <w:t>+ reúne un conjunto de soluciones técnicas diseñadas para fortalecer la gestión territorial en los municipios. Dentro de esta caja se organizan diferentes kits especializados, cada uno orientado a resolver necesidades específicas de información, administración y toma de decisiones.</w:t>
      </w:r>
    </w:p>
    <w:p w14:paraId="5676F427" w14:textId="77777777" w:rsidR="00823287" w:rsidRDefault="00823287" w:rsidP="00823287">
      <w:pPr>
        <w:jc w:val="both"/>
        <w:rPr>
          <w:sz w:val="24"/>
          <w:szCs w:val="24"/>
        </w:rPr>
      </w:pPr>
      <w:bookmarkStart w:id="10" w:name="_heading=h.t2rm47ufqs22" w:colFirst="0" w:colLast="0"/>
      <w:bookmarkEnd w:id="10"/>
    </w:p>
    <w:p w14:paraId="0223A1DC" w14:textId="11DC9619" w:rsidR="004C2238" w:rsidRPr="00823287" w:rsidRDefault="006A3E1D" w:rsidP="00823287">
      <w:pPr>
        <w:jc w:val="both"/>
        <w:rPr>
          <w:sz w:val="24"/>
          <w:szCs w:val="24"/>
        </w:rPr>
      </w:pPr>
      <w:r w:rsidRPr="00823287">
        <w:rPr>
          <w:sz w:val="24"/>
          <w:szCs w:val="24"/>
        </w:rPr>
        <w:t>Entre estos conjuntos se encuentra el KIT de herramientas para la gestión, administración y formalización del patrimonio inmobiliario municipal, un paquete metodológico que integra instrumentos, procedimientos y rutas orientadas a consolidar información patrimonial confiable, mejorar la administración del suelo fiscal y facilitar procesos de saneamiento, disposición y formalización. Su estructura responde a los principios del catastro multipropósito y promueve la interoperabilidad entre catastro, registro y ordenamiento territorial.</w:t>
      </w:r>
    </w:p>
    <w:p w14:paraId="2C051837" w14:textId="77777777" w:rsidR="004C2238" w:rsidRPr="00823287" w:rsidRDefault="004C2238" w:rsidP="00823287">
      <w:pPr>
        <w:jc w:val="both"/>
        <w:rPr>
          <w:sz w:val="24"/>
          <w:szCs w:val="24"/>
        </w:rPr>
      </w:pPr>
    </w:p>
    <w:p w14:paraId="5A7EBEA9" w14:textId="77777777" w:rsidR="004C2238" w:rsidRPr="00823287" w:rsidRDefault="006A3E1D" w:rsidP="00823287">
      <w:pPr>
        <w:jc w:val="both"/>
        <w:rPr>
          <w:sz w:val="24"/>
          <w:szCs w:val="24"/>
        </w:rPr>
      </w:pPr>
      <w:bookmarkStart w:id="11" w:name="_heading=h.hgim1usd5fql" w:colFirst="0" w:colLast="0"/>
      <w:bookmarkEnd w:id="11"/>
      <w:r w:rsidRPr="00823287">
        <w:rPr>
          <w:sz w:val="24"/>
          <w:szCs w:val="24"/>
        </w:rPr>
        <w:t>Como guía transversal, este KIT incorpora el Mapa Completo de Rutas de Saneamiento, una herramienta visual que orienta la selección del procedimiento adecuado según la situación jurídica, catastral y administrativa de cada inmueble. El mapa muestra cómo cada ruta conduce directamente a una de las cartillas que conforman el KIT, permitiendo a los municipios identificar el instrumento técnico correspondiente a su caso y avanzar de manera ordenada, tal como se presenta en la gráfica siguiente.</w:t>
      </w:r>
    </w:p>
    <w:p w14:paraId="4B655194" w14:textId="77777777" w:rsidR="004C2238" w:rsidRPr="00823287" w:rsidRDefault="004C2238" w:rsidP="00823287">
      <w:pPr>
        <w:jc w:val="both"/>
        <w:rPr>
          <w:sz w:val="24"/>
          <w:szCs w:val="24"/>
        </w:rPr>
      </w:pPr>
      <w:bookmarkStart w:id="12" w:name="_heading=h.j5z9r63b0lbw" w:colFirst="0" w:colLast="0"/>
      <w:bookmarkEnd w:id="12"/>
    </w:p>
    <w:p w14:paraId="08F78218" w14:textId="77777777" w:rsidR="004C2238" w:rsidRDefault="004C2238">
      <w:pPr>
        <w:jc w:val="both"/>
        <w:rPr>
          <w:sz w:val="24"/>
          <w:szCs w:val="24"/>
        </w:rPr>
      </w:pPr>
      <w:bookmarkStart w:id="13" w:name="_heading=h.w9sb26nhtcw8" w:colFirst="0" w:colLast="0"/>
      <w:bookmarkEnd w:id="13"/>
    </w:p>
    <w:p w14:paraId="1A4698B4" w14:textId="77777777" w:rsidR="004C2238" w:rsidRDefault="004C2238">
      <w:pPr>
        <w:jc w:val="both"/>
        <w:rPr>
          <w:sz w:val="24"/>
          <w:szCs w:val="24"/>
        </w:rPr>
      </w:pPr>
      <w:bookmarkStart w:id="14" w:name="_heading=h.5gkj7mcwoe2i" w:colFirst="0" w:colLast="0"/>
      <w:bookmarkEnd w:id="14"/>
    </w:p>
    <w:p w14:paraId="215CFDE5" w14:textId="77777777" w:rsidR="004C2238" w:rsidRDefault="004C2238">
      <w:pPr>
        <w:jc w:val="both"/>
        <w:rPr>
          <w:sz w:val="24"/>
          <w:szCs w:val="24"/>
        </w:rPr>
      </w:pPr>
      <w:bookmarkStart w:id="15" w:name="_heading=h.sfzavay9yqr3" w:colFirst="0" w:colLast="0"/>
      <w:bookmarkEnd w:id="15"/>
    </w:p>
    <w:p w14:paraId="0784FF21" w14:textId="77777777" w:rsidR="004C2238" w:rsidRDefault="004C2238">
      <w:pPr>
        <w:jc w:val="both"/>
        <w:rPr>
          <w:sz w:val="24"/>
          <w:szCs w:val="24"/>
        </w:rPr>
      </w:pPr>
      <w:bookmarkStart w:id="16" w:name="_heading=h.hzhg754sx9cd" w:colFirst="0" w:colLast="0"/>
      <w:bookmarkEnd w:id="16"/>
    </w:p>
    <w:p w14:paraId="143C4CAA" w14:textId="77777777" w:rsidR="004C2238" w:rsidRDefault="004C2238">
      <w:pPr>
        <w:jc w:val="both"/>
        <w:rPr>
          <w:sz w:val="24"/>
          <w:szCs w:val="24"/>
        </w:rPr>
      </w:pPr>
      <w:bookmarkStart w:id="17" w:name="_heading=h.ffgqqoxxbvwg" w:colFirst="0" w:colLast="0"/>
      <w:bookmarkEnd w:id="17"/>
    </w:p>
    <w:p w14:paraId="6855C7A8" w14:textId="77777777" w:rsidR="004C2238" w:rsidRDefault="004C2238">
      <w:pPr>
        <w:jc w:val="both"/>
        <w:rPr>
          <w:sz w:val="24"/>
          <w:szCs w:val="24"/>
        </w:rPr>
      </w:pPr>
      <w:bookmarkStart w:id="18" w:name="_heading=h.mtvqtcjfdqt1" w:colFirst="0" w:colLast="0"/>
      <w:bookmarkEnd w:id="18"/>
    </w:p>
    <w:p w14:paraId="3DD9772F" w14:textId="77777777" w:rsidR="004C2238" w:rsidRDefault="004C2238">
      <w:pPr>
        <w:jc w:val="both"/>
        <w:rPr>
          <w:sz w:val="24"/>
          <w:szCs w:val="24"/>
        </w:rPr>
      </w:pPr>
      <w:bookmarkStart w:id="19" w:name="_heading=h.cntv5d4ecvim" w:colFirst="0" w:colLast="0"/>
      <w:bookmarkEnd w:id="19"/>
    </w:p>
    <w:p w14:paraId="5ABE2947" w14:textId="77777777" w:rsidR="004C2238" w:rsidRDefault="004C2238">
      <w:pPr>
        <w:jc w:val="both"/>
        <w:rPr>
          <w:sz w:val="24"/>
          <w:szCs w:val="24"/>
        </w:rPr>
      </w:pPr>
      <w:bookmarkStart w:id="20" w:name="_heading=h.aoe0j2rq9pbn" w:colFirst="0" w:colLast="0"/>
      <w:bookmarkEnd w:id="20"/>
    </w:p>
    <w:p w14:paraId="4C427583" w14:textId="77777777" w:rsidR="004C2238" w:rsidRDefault="004C2238">
      <w:pPr>
        <w:jc w:val="both"/>
        <w:rPr>
          <w:sz w:val="24"/>
          <w:szCs w:val="24"/>
        </w:rPr>
      </w:pPr>
      <w:bookmarkStart w:id="21" w:name="_heading=h.5mteb1ymzvg0" w:colFirst="0" w:colLast="0"/>
      <w:bookmarkEnd w:id="21"/>
    </w:p>
    <w:p w14:paraId="2CA311EF" w14:textId="77777777" w:rsidR="004C2238" w:rsidRDefault="004C2238">
      <w:pPr>
        <w:jc w:val="both"/>
        <w:rPr>
          <w:sz w:val="24"/>
          <w:szCs w:val="24"/>
        </w:rPr>
      </w:pPr>
      <w:bookmarkStart w:id="22" w:name="_heading=h.m071nbkudp07" w:colFirst="0" w:colLast="0"/>
      <w:bookmarkEnd w:id="22"/>
    </w:p>
    <w:p w14:paraId="06F3D485" w14:textId="77777777" w:rsidR="004C2238" w:rsidRDefault="004C2238">
      <w:pPr>
        <w:jc w:val="both"/>
        <w:rPr>
          <w:sz w:val="24"/>
          <w:szCs w:val="24"/>
        </w:rPr>
      </w:pPr>
      <w:bookmarkStart w:id="23" w:name="_heading=h.fzmqovq4qk1j" w:colFirst="0" w:colLast="0"/>
      <w:bookmarkEnd w:id="23"/>
    </w:p>
    <w:p w14:paraId="532CABDC" w14:textId="77777777" w:rsidR="004C2238" w:rsidRDefault="004C2238">
      <w:pPr>
        <w:jc w:val="both"/>
        <w:rPr>
          <w:sz w:val="24"/>
          <w:szCs w:val="24"/>
        </w:rPr>
      </w:pPr>
      <w:bookmarkStart w:id="24" w:name="_heading=h.ou7422iyhnjy" w:colFirst="0" w:colLast="0"/>
      <w:bookmarkEnd w:id="24"/>
    </w:p>
    <w:p w14:paraId="73CA03F1" w14:textId="77777777" w:rsidR="004C2238" w:rsidRDefault="004C2238">
      <w:pPr>
        <w:jc w:val="both"/>
        <w:rPr>
          <w:sz w:val="24"/>
          <w:szCs w:val="24"/>
        </w:rPr>
      </w:pPr>
      <w:bookmarkStart w:id="25" w:name="_heading=h.mltysa9e5iup" w:colFirst="0" w:colLast="0"/>
      <w:bookmarkEnd w:id="25"/>
    </w:p>
    <w:p w14:paraId="28061968" w14:textId="77777777" w:rsidR="004C2238" w:rsidRDefault="004C2238">
      <w:pPr>
        <w:jc w:val="both"/>
        <w:rPr>
          <w:sz w:val="24"/>
          <w:szCs w:val="24"/>
        </w:rPr>
      </w:pPr>
      <w:bookmarkStart w:id="26" w:name="_heading=h.q8f762wjib9b" w:colFirst="0" w:colLast="0"/>
      <w:bookmarkEnd w:id="26"/>
    </w:p>
    <w:p w14:paraId="0D0970FE" w14:textId="77777777" w:rsidR="004C2238" w:rsidRDefault="004C2238">
      <w:pPr>
        <w:jc w:val="both"/>
        <w:rPr>
          <w:sz w:val="24"/>
          <w:szCs w:val="24"/>
        </w:rPr>
      </w:pPr>
      <w:bookmarkStart w:id="27" w:name="_heading=h.6q8xrgzbgj1p" w:colFirst="0" w:colLast="0"/>
      <w:bookmarkEnd w:id="27"/>
    </w:p>
    <w:p w14:paraId="3E407B51" w14:textId="77777777" w:rsidR="004C2238" w:rsidRDefault="004C2238">
      <w:pPr>
        <w:jc w:val="both"/>
        <w:rPr>
          <w:b/>
          <w:bCs/>
          <w:sz w:val="24"/>
          <w:szCs w:val="24"/>
        </w:rPr>
      </w:pPr>
      <w:bookmarkStart w:id="28" w:name="_heading=h.n6rrx4rr8d1r" w:colFirst="0" w:colLast="0"/>
      <w:bookmarkEnd w:id="28"/>
    </w:p>
    <w:p w14:paraId="4AC7B15C" w14:textId="77777777" w:rsidR="004C2238" w:rsidRDefault="006A3E1D">
      <w:pPr>
        <w:jc w:val="center"/>
        <w:rPr>
          <w:b/>
          <w:bCs/>
          <w:sz w:val="24"/>
          <w:szCs w:val="24"/>
        </w:rPr>
      </w:pPr>
      <w:bookmarkStart w:id="29" w:name="_heading=h.sv2rqshm8v9s" w:colFirst="0" w:colLast="0"/>
      <w:bookmarkEnd w:id="29"/>
      <w:r w:rsidRPr="00823287">
        <w:rPr>
          <w:b/>
          <w:bCs/>
          <w:color w:val="000000" w:themeColor="text1"/>
          <w:sz w:val="24"/>
          <w:szCs w:val="24"/>
        </w:rPr>
        <w:t xml:space="preserve">Grafica 1. </w:t>
      </w:r>
      <w:r>
        <w:rPr>
          <w:b/>
          <w:bCs/>
          <w:sz w:val="24"/>
          <w:szCs w:val="24"/>
        </w:rPr>
        <w:t xml:space="preserve">Kit de Herramientas </w:t>
      </w:r>
      <w:proofErr w:type="spellStart"/>
      <w:r>
        <w:rPr>
          <w:b/>
          <w:bCs/>
          <w:sz w:val="24"/>
          <w:szCs w:val="24"/>
        </w:rPr>
        <w:t>CiuData</w:t>
      </w:r>
      <w:proofErr w:type="spellEnd"/>
      <w:r>
        <w:rPr>
          <w:b/>
          <w:bCs/>
          <w:sz w:val="24"/>
          <w:szCs w:val="24"/>
        </w:rPr>
        <w:t>+ para la Gestión, Administración y Formalización del Patrimonio Inmobiliario Municipal</w:t>
      </w:r>
    </w:p>
    <w:p w14:paraId="69EBF594" w14:textId="77777777" w:rsidR="004C2238" w:rsidRDefault="004C2238"/>
    <w:p w14:paraId="1C3922D5" w14:textId="77777777" w:rsidR="004C2238" w:rsidRDefault="006A3E1D" w:rsidP="003E112B">
      <w:pPr>
        <w:jc w:val="center"/>
      </w:pPr>
      <w:r>
        <w:rPr>
          <w:noProof/>
        </w:rPr>
        <w:drawing>
          <wp:inline distT="114300" distB="114300" distL="114300" distR="114300" wp14:anchorId="3DB00F5F" wp14:editId="336A00E3">
            <wp:extent cx="5220000" cy="3060000"/>
            <wp:effectExtent l="0" t="0" r="0" b="7620"/>
            <wp:docPr id="2" name="image2.jpg"/>
            <wp:cNvGraphicFramePr/>
            <a:graphic xmlns:a="http://schemas.openxmlformats.org/drawingml/2006/main">
              <a:graphicData uri="http://schemas.openxmlformats.org/drawingml/2006/picture">
                <pic:pic xmlns:pic="http://schemas.openxmlformats.org/drawingml/2006/picture">
                  <pic:nvPicPr>
                    <pic:cNvPr id="2" name="image2.jpg"/>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5220000" cy="3060000"/>
                    </a:xfrm>
                    <a:prstGeom prst="rect">
                      <a:avLst/>
                    </a:prstGeom>
                    <a:ln/>
                  </pic:spPr>
                </pic:pic>
              </a:graphicData>
            </a:graphic>
          </wp:inline>
        </w:drawing>
      </w:r>
    </w:p>
    <w:p w14:paraId="56FA06B7" w14:textId="77777777" w:rsidR="004C2238" w:rsidRDefault="006A3E1D">
      <w:pPr>
        <w:jc w:val="center"/>
        <w:rPr>
          <w:sz w:val="16"/>
          <w:szCs w:val="16"/>
        </w:rPr>
      </w:pPr>
      <w:bookmarkStart w:id="30" w:name="_heading=h.kr0497o945a4" w:colFirst="0" w:colLast="0"/>
      <w:bookmarkEnd w:id="30"/>
      <w:r>
        <w:rPr>
          <w:sz w:val="16"/>
          <w:szCs w:val="16"/>
        </w:rPr>
        <w:t>Fuente: elaboración propia</w:t>
      </w:r>
    </w:p>
    <w:p w14:paraId="50E0834E" w14:textId="77777777" w:rsidR="004C2238" w:rsidRDefault="004C2238">
      <w:pPr>
        <w:pStyle w:val="Ttulo1"/>
        <w:spacing w:before="240" w:after="240"/>
        <w:jc w:val="both"/>
        <w:rPr>
          <w:rFonts w:ascii="Arial" w:eastAsia="Arial" w:hAnsi="Arial" w:cs="Arial"/>
          <w:color w:val="000000"/>
          <w:sz w:val="24"/>
          <w:szCs w:val="24"/>
        </w:rPr>
      </w:pPr>
      <w:bookmarkStart w:id="31" w:name="_heading=h.hb8u90sbu4rq" w:colFirst="0" w:colLast="0"/>
      <w:bookmarkEnd w:id="31"/>
    </w:p>
    <w:p w14:paraId="501A2598" w14:textId="77777777" w:rsidR="004C2238" w:rsidRDefault="006A3E1D">
      <w:pPr>
        <w:jc w:val="both"/>
        <w:rPr>
          <w:sz w:val="24"/>
          <w:szCs w:val="24"/>
        </w:rPr>
      </w:pPr>
      <w:r>
        <w:rPr>
          <w:sz w:val="24"/>
          <w:szCs w:val="24"/>
        </w:rPr>
        <w:t>Cada uno de estos procedimientos se desarrolla bajo el enfoque de catastro colaborativo, mediante el cual los municipios asumen un rol activo en la producción, validación y actualización de la información predial, en articulación permanente con el gestor catastral. Este trabajo coordinado garantiza la interoperabilidad con el modelo LADM_COL y asegura la consistencia e integración de la información jurídica, física y económica de los inmuebles, fortaleciendo la calidad, confiabilidad y trazabilidad de los datos.</w:t>
      </w:r>
    </w:p>
    <w:p w14:paraId="16212564" w14:textId="77777777" w:rsidR="004C2238" w:rsidRDefault="004C2238">
      <w:pPr>
        <w:jc w:val="both"/>
        <w:rPr>
          <w:sz w:val="24"/>
          <w:szCs w:val="24"/>
        </w:rPr>
      </w:pPr>
    </w:p>
    <w:p w14:paraId="10A439C2" w14:textId="77777777" w:rsidR="004C2238" w:rsidRDefault="006A3E1D">
      <w:pPr>
        <w:jc w:val="both"/>
        <w:rPr>
          <w:sz w:val="24"/>
          <w:szCs w:val="24"/>
        </w:rPr>
      </w:pPr>
      <w:bookmarkStart w:id="32" w:name="_heading=h.1jjtiiembm70" w:colFirst="0" w:colLast="0"/>
      <w:bookmarkEnd w:id="32"/>
      <w:r>
        <w:rPr>
          <w:sz w:val="24"/>
          <w:szCs w:val="24"/>
        </w:rPr>
        <w:t xml:space="preserve">En conjunto, las cartillas del kit </w:t>
      </w:r>
      <w:proofErr w:type="spellStart"/>
      <w:r>
        <w:rPr>
          <w:sz w:val="24"/>
          <w:szCs w:val="24"/>
        </w:rPr>
        <w:t>CiuData</w:t>
      </w:r>
      <w:proofErr w:type="spellEnd"/>
      <w:r>
        <w:rPr>
          <w:sz w:val="24"/>
          <w:szCs w:val="24"/>
        </w:rPr>
        <w:t>+ consolidan una metodología integral y estandarizada que no solo facilita la depuración, organización y fortalecimiento del inventario municipal de inmuebles, sino que también promueve la formalización predial, mejora la planificación territorial y refuerza la transparencia en la gestión pública.</w:t>
      </w:r>
    </w:p>
    <w:p w14:paraId="04342236" w14:textId="77777777" w:rsidR="004C2238" w:rsidRDefault="004C2238">
      <w:pPr>
        <w:jc w:val="both"/>
        <w:rPr>
          <w:sz w:val="24"/>
          <w:szCs w:val="24"/>
        </w:rPr>
      </w:pPr>
    </w:p>
    <w:p w14:paraId="5F112325" w14:textId="77777777" w:rsidR="004C2238" w:rsidRDefault="004C2238">
      <w:pPr>
        <w:jc w:val="both"/>
        <w:rPr>
          <w:sz w:val="24"/>
          <w:szCs w:val="24"/>
        </w:rPr>
      </w:pPr>
    </w:p>
    <w:p w14:paraId="2F7E1EC1" w14:textId="77777777" w:rsidR="004C2238" w:rsidRDefault="006A3E1D">
      <w:pPr>
        <w:jc w:val="both"/>
        <w:rPr>
          <w:b/>
          <w:bCs/>
          <w:sz w:val="24"/>
          <w:szCs w:val="24"/>
        </w:rPr>
      </w:pPr>
      <w:r>
        <w:rPr>
          <w:b/>
          <w:bCs/>
          <w:color w:val="000000"/>
          <w:sz w:val="24"/>
          <w:szCs w:val="24"/>
        </w:rPr>
        <w:t>Resumen</w:t>
      </w:r>
    </w:p>
    <w:p w14:paraId="146EA390" w14:textId="77777777" w:rsidR="004C2238" w:rsidRDefault="004C2238">
      <w:pPr>
        <w:jc w:val="both"/>
        <w:rPr>
          <w:b/>
          <w:bCs/>
          <w:sz w:val="24"/>
          <w:szCs w:val="24"/>
        </w:rPr>
      </w:pPr>
      <w:bookmarkStart w:id="33" w:name="_heading=h.52cn5vf7tyb8" w:colFirst="0" w:colLast="0"/>
      <w:bookmarkEnd w:id="33"/>
    </w:p>
    <w:p w14:paraId="73858FCB" w14:textId="04F02D0B" w:rsidR="004C2238" w:rsidRPr="00823287" w:rsidRDefault="006A3E1D" w:rsidP="00823287">
      <w:pPr>
        <w:jc w:val="both"/>
        <w:rPr>
          <w:sz w:val="24"/>
          <w:szCs w:val="24"/>
        </w:rPr>
      </w:pPr>
      <w:bookmarkStart w:id="34" w:name="_heading=h.dk7qwkhlxg70" w:colFirst="0" w:colLast="0"/>
      <w:bookmarkEnd w:id="34"/>
      <w:r w:rsidRPr="00823287">
        <w:rPr>
          <w:sz w:val="24"/>
          <w:szCs w:val="24"/>
        </w:rPr>
        <w:t xml:space="preserve">La Cartilla No. </w:t>
      </w:r>
      <w:r w:rsidR="000A07D3">
        <w:rPr>
          <w:sz w:val="24"/>
          <w:szCs w:val="24"/>
        </w:rPr>
        <w:t>5</w:t>
      </w:r>
      <w:r w:rsidRPr="00823287">
        <w:rPr>
          <w:sz w:val="24"/>
          <w:szCs w:val="24"/>
        </w:rPr>
        <w:t>, establece el procedimiento para la enajenación directa de bienes fiscales ocupados ilegalmente cuando no procede la cesión gratuita. Su objetivo es regularizar la tenencia de la tierra, fortalecer la seguridad jurídica sobre la propiedad, sanear el inventario inmobiliario municipal y generar ingresos para los municipios mediante la transferencia onerosa de predios fiscales a ocupantes o terceros interesados. El procedimiento se fundamenta en la Ley 708 de 2001, la Ley 1955 de 2019, la Ley 2044 de 2020 y el Decreto 523 de 2021, que permiten la venta directa de bienes fiscales bajo condiciones específicas y sin acudir a los procedimientos ordinarios de contratación estatal.</w:t>
      </w:r>
    </w:p>
    <w:p w14:paraId="65EA5FB2" w14:textId="77777777" w:rsidR="004C2238" w:rsidRPr="00823287" w:rsidRDefault="006A3E1D" w:rsidP="00823287">
      <w:pPr>
        <w:jc w:val="both"/>
        <w:rPr>
          <w:sz w:val="24"/>
          <w:szCs w:val="24"/>
        </w:rPr>
      </w:pPr>
      <w:bookmarkStart w:id="35" w:name="_heading=h.simm9xtnlwy3" w:colFirst="0" w:colLast="0"/>
      <w:bookmarkEnd w:id="35"/>
      <w:r w:rsidRPr="00823287">
        <w:rPr>
          <w:sz w:val="24"/>
          <w:szCs w:val="24"/>
        </w:rPr>
        <w:t>La metodología comprende siete etapas: verificación de competencias y autorizaciones, identificación y saneamiento del inmueble, elaboración del informe técnico-jurídico, identificación del ocupante y formulación de la oferta, expedición de la resolución de enajenación, registro y actualización catastral, y actualización del inventario municipal. Todo el proceso se desarrolla bajo el enfoque de catastro colaborativo, promoviendo la articulación entre municipios y gestores catastrales para garantizar la calidad, interoperabilidad y trazabilidad de la información predial, contribuyendo a la formalización de la propiedad, la planificación territorial y la protección del patrimonio público.</w:t>
      </w:r>
    </w:p>
    <w:p w14:paraId="6B6620BB" w14:textId="77777777" w:rsidR="004C2238" w:rsidRPr="00823287" w:rsidRDefault="004C2238" w:rsidP="00823287">
      <w:pPr>
        <w:jc w:val="both"/>
        <w:rPr>
          <w:b/>
          <w:bCs/>
          <w:sz w:val="24"/>
          <w:szCs w:val="24"/>
        </w:rPr>
      </w:pPr>
    </w:p>
    <w:p w14:paraId="3E0DD6B9" w14:textId="77777777" w:rsidR="00823287" w:rsidRPr="00823287" w:rsidRDefault="00823287" w:rsidP="00823287">
      <w:pPr>
        <w:jc w:val="both"/>
        <w:rPr>
          <w:b/>
          <w:bCs/>
          <w:sz w:val="24"/>
          <w:szCs w:val="24"/>
        </w:rPr>
      </w:pPr>
    </w:p>
    <w:p w14:paraId="1606673A" w14:textId="77777777" w:rsidR="00823287" w:rsidRPr="00823287" w:rsidRDefault="00823287" w:rsidP="00823287">
      <w:pPr>
        <w:jc w:val="both"/>
        <w:rPr>
          <w:b/>
          <w:bCs/>
          <w:sz w:val="24"/>
          <w:szCs w:val="24"/>
        </w:rPr>
      </w:pPr>
    </w:p>
    <w:p w14:paraId="7F26E4A1" w14:textId="77777777" w:rsidR="00823287" w:rsidRDefault="00823287">
      <w:pPr>
        <w:pStyle w:val="Ttulo1"/>
        <w:jc w:val="center"/>
        <w:rPr>
          <w:rFonts w:ascii="Arial" w:eastAsia="Arial" w:hAnsi="Arial" w:cs="Arial"/>
          <w:b/>
          <w:bCs/>
          <w:color w:val="000000"/>
          <w:sz w:val="24"/>
          <w:szCs w:val="24"/>
        </w:rPr>
      </w:pPr>
    </w:p>
    <w:p w14:paraId="6457AF13" w14:textId="77777777" w:rsidR="00823287" w:rsidRDefault="00823287" w:rsidP="00823287">
      <w:pPr>
        <w:pStyle w:val="Ttulo1"/>
        <w:rPr>
          <w:rFonts w:ascii="Arial" w:eastAsia="Arial" w:hAnsi="Arial" w:cs="Arial"/>
          <w:b/>
          <w:bCs/>
          <w:color w:val="000000"/>
          <w:sz w:val="24"/>
          <w:szCs w:val="24"/>
        </w:rPr>
      </w:pPr>
    </w:p>
    <w:p w14:paraId="29495DD5" w14:textId="77777777" w:rsidR="00823287" w:rsidRDefault="00823287" w:rsidP="00823287"/>
    <w:p w14:paraId="12929D4B" w14:textId="77777777" w:rsidR="00823287" w:rsidRDefault="00823287" w:rsidP="00823287"/>
    <w:p w14:paraId="4D9E5032" w14:textId="77777777" w:rsidR="00823287" w:rsidRDefault="00823287" w:rsidP="00823287"/>
    <w:p w14:paraId="31EAC087" w14:textId="77777777" w:rsidR="00823287" w:rsidRDefault="00823287" w:rsidP="00823287"/>
    <w:p w14:paraId="70803749" w14:textId="77777777" w:rsidR="00823287" w:rsidRDefault="00823287" w:rsidP="00823287"/>
    <w:p w14:paraId="504D8A5D" w14:textId="77777777" w:rsidR="00823287" w:rsidRDefault="00823287" w:rsidP="00823287"/>
    <w:p w14:paraId="09D12901" w14:textId="77777777" w:rsidR="00823287" w:rsidRDefault="00823287" w:rsidP="00823287"/>
    <w:p w14:paraId="7D807B22" w14:textId="77777777" w:rsidR="00823287" w:rsidRDefault="00823287" w:rsidP="00823287"/>
    <w:p w14:paraId="350F685A" w14:textId="77777777" w:rsidR="00823287" w:rsidRDefault="00823287" w:rsidP="00823287"/>
    <w:p w14:paraId="48028372" w14:textId="3B2A6454" w:rsidR="004C2238" w:rsidRDefault="006A3E1D" w:rsidP="00823287">
      <w:pPr>
        <w:pStyle w:val="Ttulo1"/>
        <w:jc w:val="center"/>
        <w:rPr>
          <w:rFonts w:ascii="Arial" w:eastAsia="Arial" w:hAnsi="Arial" w:cs="Arial"/>
          <w:b/>
          <w:bCs/>
          <w:color w:val="000000"/>
          <w:sz w:val="24"/>
          <w:szCs w:val="24"/>
        </w:rPr>
      </w:pPr>
      <w:bookmarkStart w:id="36" w:name="_Toc233705370"/>
      <w:r>
        <w:rPr>
          <w:rFonts w:ascii="Arial" w:eastAsia="Arial" w:hAnsi="Arial" w:cs="Arial"/>
          <w:b/>
          <w:bCs/>
          <w:color w:val="000000"/>
          <w:sz w:val="24"/>
          <w:szCs w:val="24"/>
        </w:rPr>
        <w:t>Introducción</w:t>
      </w:r>
      <w:bookmarkEnd w:id="36"/>
    </w:p>
    <w:p w14:paraId="23797A44" w14:textId="77777777" w:rsidR="004C2238" w:rsidRDefault="006A3E1D">
      <w:pPr>
        <w:spacing w:before="240" w:after="240"/>
        <w:jc w:val="both"/>
        <w:rPr>
          <w:sz w:val="24"/>
          <w:szCs w:val="24"/>
        </w:rPr>
      </w:pPr>
      <w:r>
        <w:rPr>
          <w:sz w:val="24"/>
          <w:szCs w:val="24"/>
        </w:rPr>
        <w:t xml:space="preserve">La presente cartilla describe de manera clara y práctica el procedimiento administrativo para la enajenación directa de bienes fiscales ocupados ilegalmente en el ámbito municipal. Este proceso permite transferir de forma legal y onerosa la propiedad de los predios a ocupantes o terceros interesados, cuando no procede la cesión gratuita, y se articula con lo desarrollado en la Cartilla </w:t>
      </w:r>
      <w:proofErr w:type="spellStart"/>
      <w:r>
        <w:rPr>
          <w:sz w:val="24"/>
          <w:szCs w:val="24"/>
        </w:rPr>
        <w:t>Nº</w:t>
      </w:r>
      <w:proofErr w:type="spellEnd"/>
      <w:r>
        <w:rPr>
          <w:sz w:val="24"/>
          <w:szCs w:val="24"/>
        </w:rPr>
        <w:t xml:space="preserve"> 3 “Cesión a título gratuito de bienes fiscales titulables a particulares” del Kit de Herramientas </w:t>
      </w:r>
      <w:proofErr w:type="spellStart"/>
      <w:r>
        <w:rPr>
          <w:sz w:val="24"/>
          <w:szCs w:val="24"/>
        </w:rPr>
        <w:t>CiuData</w:t>
      </w:r>
      <w:proofErr w:type="spellEnd"/>
      <w:r>
        <w:rPr>
          <w:sz w:val="24"/>
          <w:szCs w:val="24"/>
        </w:rPr>
        <w:t>+ para la Gestión, Administración y Formalización del Patrimonio Inmobiliario Municipal.</w:t>
      </w:r>
    </w:p>
    <w:p w14:paraId="065451FB" w14:textId="77777777" w:rsidR="004C2238" w:rsidRDefault="006A3E1D">
      <w:pPr>
        <w:spacing w:before="240" w:after="240"/>
        <w:jc w:val="both"/>
        <w:rPr>
          <w:sz w:val="24"/>
          <w:szCs w:val="24"/>
        </w:rPr>
      </w:pPr>
      <w:r>
        <w:rPr>
          <w:sz w:val="24"/>
          <w:szCs w:val="24"/>
        </w:rPr>
        <w:t>Está dirigida a los funcionarios municipales como una herramienta de apoyo para facilitar la aplicación ordenada y uniforme del procedimiento, brindando orientaciones claras para su implementación en el marco de la gestión del patrimonio público.</w:t>
      </w:r>
    </w:p>
    <w:p w14:paraId="6BD9C467" w14:textId="77777777" w:rsidR="004C2238" w:rsidRDefault="006A3E1D">
      <w:pPr>
        <w:spacing w:before="240" w:after="240"/>
        <w:jc w:val="both"/>
        <w:rPr>
          <w:sz w:val="24"/>
          <w:szCs w:val="24"/>
        </w:rPr>
      </w:pPr>
      <w:r>
        <w:rPr>
          <w:sz w:val="24"/>
          <w:szCs w:val="24"/>
        </w:rPr>
        <w:t>Su implementación contribuye al saneamiento del inventario de bienes fiscales, al uso ordenado del suelo y a la generación de ingresos propios para el municipio. Asimismo, promueve la formalización de la propiedad y el mejoramiento de las condiciones de los ocupantes, mediante la constitución de patrimonio de familia inembargable cuando corresponda.</w:t>
      </w:r>
    </w:p>
    <w:p w14:paraId="1C50826E" w14:textId="77777777" w:rsidR="004C2238" w:rsidRDefault="004C2238">
      <w:pPr>
        <w:jc w:val="both"/>
        <w:rPr>
          <w:sz w:val="24"/>
          <w:szCs w:val="24"/>
        </w:rPr>
      </w:pPr>
    </w:p>
    <w:p w14:paraId="57A875B9" w14:textId="77777777" w:rsidR="004C2238" w:rsidRDefault="004C2238">
      <w:pPr>
        <w:pBdr>
          <w:top w:val="nil"/>
          <w:left w:val="nil"/>
          <w:bottom w:val="nil"/>
          <w:right w:val="nil"/>
          <w:between w:val="nil"/>
        </w:pBdr>
        <w:jc w:val="both"/>
        <w:rPr>
          <w:sz w:val="24"/>
          <w:szCs w:val="24"/>
        </w:rPr>
      </w:pPr>
    </w:p>
    <w:p w14:paraId="74B92A26" w14:textId="77777777" w:rsidR="004C2238" w:rsidRDefault="004C2238">
      <w:pPr>
        <w:pBdr>
          <w:top w:val="nil"/>
          <w:left w:val="nil"/>
          <w:bottom w:val="nil"/>
          <w:right w:val="nil"/>
          <w:between w:val="nil"/>
        </w:pBdr>
        <w:jc w:val="both"/>
        <w:rPr>
          <w:sz w:val="24"/>
          <w:szCs w:val="24"/>
        </w:rPr>
      </w:pPr>
    </w:p>
    <w:p w14:paraId="7E92DBE0" w14:textId="77777777" w:rsidR="004C2238" w:rsidRDefault="004C2238">
      <w:pPr>
        <w:pBdr>
          <w:top w:val="nil"/>
          <w:left w:val="nil"/>
          <w:bottom w:val="nil"/>
          <w:right w:val="nil"/>
          <w:between w:val="nil"/>
        </w:pBdr>
        <w:jc w:val="both"/>
        <w:rPr>
          <w:sz w:val="24"/>
          <w:szCs w:val="24"/>
        </w:rPr>
      </w:pPr>
    </w:p>
    <w:p w14:paraId="630A2C1D" w14:textId="77777777" w:rsidR="004C2238" w:rsidRDefault="004C2238">
      <w:pPr>
        <w:pBdr>
          <w:top w:val="nil"/>
          <w:left w:val="nil"/>
          <w:bottom w:val="nil"/>
          <w:right w:val="nil"/>
          <w:between w:val="nil"/>
        </w:pBdr>
        <w:jc w:val="both"/>
        <w:rPr>
          <w:sz w:val="24"/>
          <w:szCs w:val="24"/>
        </w:rPr>
      </w:pPr>
    </w:p>
    <w:p w14:paraId="6BAFED25" w14:textId="77777777" w:rsidR="004C2238" w:rsidRDefault="004C2238">
      <w:pPr>
        <w:pBdr>
          <w:top w:val="nil"/>
          <w:left w:val="nil"/>
          <w:bottom w:val="nil"/>
          <w:right w:val="nil"/>
          <w:between w:val="nil"/>
        </w:pBdr>
        <w:jc w:val="both"/>
        <w:rPr>
          <w:sz w:val="24"/>
          <w:szCs w:val="24"/>
        </w:rPr>
      </w:pPr>
    </w:p>
    <w:p w14:paraId="57299ECC" w14:textId="77777777" w:rsidR="004C2238" w:rsidRDefault="004C2238">
      <w:pPr>
        <w:pBdr>
          <w:top w:val="nil"/>
          <w:left w:val="nil"/>
          <w:bottom w:val="nil"/>
          <w:right w:val="nil"/>
          <w:between w:val="nil"/>
        </w:pBdr>
        <w:jc w:val="both"/>
        <w:rPr>
          <w:sz w:val="24"/>
          <w:szCs w:val="24"/>
        </w:rPr>
      </w:pPr>
    </w:p>
    <w:p w14:paraId="72BDE9C6" w14:textId="77777777" w:rsidR="004C2238" w:rsidRDefault="004C2238">
      <w:pPr>
        <w:pBdr>
          <w:top w:val="nil"/>
          <w:left w:val="nil"/>
          <w:bottom w:val="nil"/>
          <w:right w:val="nil"/>
          <w:between w:val="nil"/>
        </w:pBdr>
        <w:jc w:val="both"/>
        <w:rPr>
          <w:sz w:val="24"/>
          <w:szCs w:val="24"/>
        </w:rPr>
      </w:pPr>
    </w:p>
    <w:p w14:paraId="7ABE3FD2" w14:textId="77777777" w:rsidR="004C2238" w:rsidRDefault="004C2238">
      <w:pPr>
        <w:pBdr>
          <w:top w:val="nil"/>
          <w:left w:val="nil"/>
          <w:bottom w:val="nil"/>
          <w:right w:val="nil"/>
          <w:between w:val="nil"/>
        </w:pBdr>
        <w:jc w:val="both"/>
        <w:rPr>
          <w:sz w:val="24"/>
          <w:szCs w:val="24"/>
        </w:rPr>
      </w:pPr>
    </w:p>
    <w:p w14:paraId="6BFFE79B" w14:textId="77777777" w:rsidR="00047EB9" w:rsidRDefault="00047EB9">
      <w:pPr>
        <w:pStyle w:val="Ttulo1"/>
        <w:jc w:val="center"/>
        <w:rPr>
          <w:rFonts w:ascii="Arial" w:eastAsia="Arial" w:hAnsi="Arial" w:cs="Arial"/>
          <w:b/>
          <w:bCs/>
          <w:color w:val="000000"/>
          <w:sz w:val="24"/>
          <w:szCs w:val="24"/>
        </w:rPr>
      </w:pPr>
      <w:bookmarkStart w:id="37" w:name="_Toc233705371"/>
    </w:p>
    <w:p w14:paraId="6FA354E5" w14:textId="06B86B7A" w:rsidR="004C2238" w:rsidRDefault="006A3E1D">
      <w:pPr>
        <w:pStyle w:val="Ttulo1"/>
        <w:jc w:val="center"/>
        <w:rPr>
          <w:rFonts w:ascii="Arial" w:eastAsia="Arial" w:hAnsi="Arial" w:cs="Arial"/>
          <w:b/>
          <w:bCs/>
          <w:color w:val="000000"/>
          <w:sz w:val="24"/>
          <w:szCs w:val="24"/>
        </w:rPr>
      </w:pPr>
      <w:r>
        <w:rPr>
          <w:rFonts w:ascii="Arial" w:eastAsia="Arial" w:hAnsi="Arial" w:cs="Arial"/>
          <w:b/>
          <w:bCs/>
          <w:color w:val="000000"/>
          <w:sz w:val="24"/>
          <w:szCs w:val="24"/>
        </w:rPr>
        <w:t>Capítulo 1.</w:t>
      </w:r>
      <w:bookmarkEnd w:id="37"/>
    </w:p>
    <w:p w14:paraId="67FCCDE6" w14:textId="77777777" w:rsidR="004C2238" w:rsidRDefault="006A3E1D">
      <w:pPr>
        <w:pStyle w:val="Ttulo2"/>
        <w:jc w:val="center"/>
        <w:rPr>
          <w:rFonts w:ascii="Arial" w:eastAsia="Arial" w:hAnsi="Arial" w:cs="Arial"/>
          <w:b/>
          <w:bCs/>
          <w:color w:val="000000"/>
          <w:sz w:val="24"/>
          <w:szCs w:val="24"/>
        </w:rPr>
      </w:pPr>
      <w:bookmarkStart w:id="38" w:name="_Toc233705372"/>
      <w:r>
        <w:rPr>
          <w:rFonts w:ascii="Arial" w:eastAsia="Arial" w:hAnsi="Arial" w:cs="Arial"/>
          <w:b/>
          <w:bCs/>
          <w:color w:val="000000"/>
          <w:sz w:val="24"/>
          <w:szCs w:val="24"/>
        </w:rPr>
        <w:t>Generalidades y definiciones</w:t>
      </w:r>
      <w:bookmarkEnd w:id="38"/>
    </w:p>
    <w:p w14:paraId="6873E25E" w14:textId="77777777" w:rsidR="004C2238" w:rsidRDefault="004C2238">
      <w:pPr>
        <w:spacing w:after="160"/>
        <w:jc w:val="both"/>
        <w:rPr>
          <w:sz w:val="24"/>
          <w:szCs w:val="24"/>
        </w:rPr>
      </w:pPr>
    </w:p>
    <w:p w14:paraId="40C02CFB" w14:textId="77777777" w:rsidR="004C2238" w:rsidRDefault="006A3E1D">
      <w:pPr>
        <w:spacing w:after="160"/>
        <w:jc w:val="both"/>
        <w:rPr>
          <w:sz w:val="24"/>
          <w:szCs w:val="24"/>
        </w:rPr>
      </w:pPr>
      <w:r>
        <w:rPr>
          <w:sz w:val="24"/>
          <w:szCs w:val="24"/>
        </w:rPr>
        <w:t>En este capítulo se presentan las generalidades y definiciones del proceso de enajenación directa de bienes fiscales a particulares, destacando los conceptos clave y los elementos esenciales que permiten entender cómo se transfiere de manera transparente y eficiente la propiedad de los bienes del Estado a los ciudadanos.</w:t>
      </w:r>
    </w:p>
    <w:p w14:paraId="278A6430" w14:textId="77777777" w:rsidR="004C2238" w:rsidRDefault="004C2238">
      <w:pPr>
        <w:spacing w:after="160"/>
        <w:jc w:val="both"/>
        <w:rPr>
          <w:sz w:val="24"/>
          <w:szCs w:val="24"/>
        </w:rPr>
      </w:pPr>
    </w:p>
    <w:p w14:paraId="03325876" w14:textId="77777777" w:rsidR="004C2238" w:rsidRDefault="006A3E1D">
      <w:pPr>
        <w:pStyle w:val="Ttulo2"/>
        <w:rPr>
          <w:rFonts w:ascii="Arial" w:eastAsia="Arial" w:hAnsi="Arial" w:cs="Arial"/>
          <w:b/>
          <w:bCs/>
          <w:color w:val="000000"/>
          <w:sz w:val="24"/>
          <w:szCs w:val="24"/>
        </w:rPr>
      </w:pPr>
      <w:bookmarkStart w:id="39" w:name="_Toc233705373"/>
      <w:r>
        <w:rPr>
          <w:rFonts w:ascii="Arial" w:eastAsia="Arial" w:hAnsi="Arial" w:cs="Arial"/>
          <w:b/>
          <w:bCs/>
          <w:color w:val="000000"/>
          <w:sz w:val="24"/>
          <w:szCs w:val="24"/>
        </w:rPr>
        <w:t>1.1. ¿Cuál es el objetivo de la cartilla?</w:t>
      </w:r>
      <w:bookmarkEnd w:id="39"/>
    </w:p>
    <w:p w14:paraId="3D78643C" w14:textId="77777777" w:rsidR="004C2238" w:rsidRDefault="006A3E1D">
      <w:pPr>
        <w:jc w:val="both"/>
        <w:rPr>
          <w:sz w:val="24"/>
          <w:szCs w:val="24"/>
        </w:rPr>
      </w:pPr>
      <w:r>
        <w:rPr>
          <w:sz w:val="24"/>
          <w:szCs w:val="24"/>
        </w:rPr>
        <w:t xml:space="preserve">Establecer de manera clara y secuencial el procedimiento administrativo para la enajenación directa de bienes fiscales a particulares. Su fin es regularizar la tenencia de la tierra, recuperar el patrimonio público, dinamizar los ingresos fiscales de los municipios y permitir la transferencia legal y onerosa de los predios a sus ocupantes o a terceros, en los casos donde legalmente no sea procedente la cesión a título gratuito.  </w:t>
      </w:r>
    </w:p>
    <w:p w14:paraId="4EAA2292" w14:textId="77777777" w:rsidR="004C2238" w:rsidRDefault="004C2238">
      <w:pPr>
        <w:jc w:val="both"/>
        <w:rPr>
          <w:sz w:val="24"/>
          <w:szCs w:val="24"/>
        </w:rPr>
      </w:pPr>
    </w:p>
    <w:p w14:paraId="6FFD2489" w14:textId="77777777" w:rsidR="004C2238" w:rsidRDefault="006A3E1D">
      <w:pPr>
        <w:pStyle w:val="Ttulo2"/>
        <w:rPr>
          <w:rFonts w:ascii="Arial" w:eastAsia="Arial" w:hAnsi="Arial" w:cs="Arial"/>
          <w:b/>
          <w:bCs/>
          <w:sz w:val="24"/>
          <w:szCs w:val="24"/>
        </w:rPr>
      </w:pPr>
      <w:bookmarkStart w:id="40" w:name="_Toc233705374"/>
      <w:r>
        <w:rPr>
          <w:rFonts w:ascii="Arial" w:eastAsia="Arial" w:hAnsi="Arial" w:cs="Arial"/>
          <w:b/>
          <w:bCs/>
          <w:color w:val="000000"/>
          <w:sz w:val="24"/>
          <w:szCs w:val="24"/>
        </w:rPr>
        <w:t>1.2 .¿Cuál es el alcance y las limitaciones de la Cartilla?</w:t>
      </w:r>
      <w:bookmarkEnd w:id="40"/>
    </w:p>
    <w:p w14:paraId="5D6F9261" w14:textId="77777777" w:rsidR="004C2238" w:rsidRDefault="006A3E1D">
      <w:pPr>
        <w:jc w:val="both"/>
        <w:rPr>
          <w:b/>
          <w:bCs/>
          <w:i/>
          <w:iCs/>
          <w:color w:val="388600"/>
          <w:sz w:val="24"/>
          <w:szCs w:val="24"/>
        </w:rPr>
      </w:pPr>
      <w:r>
        <w:rPr>
          <w:sz w:val="24"/>
          <w:szCs w:val="24"/>
        </w:rPr>
        <w:t>Tiene un alcance orientador y pedagógico, en ella se describen los principales conceptos, procedimientos y etapas que deben surtirse para la enajenación directa de los bienes fiscales ocupados de manera ilegal. No obstante, el documento no sustituye el análisis jurídico particular que deba realizarse en cada caso concreto, ni reemplaza la aplicación directa de la normativa vigente, la jurisprudencia aplicable o los conceptos emitidos por las autoridades competentes.</w:t>
      </w:r>
    </w:p>
    <w:p w14:paraId="1C4F81C3" w14:textId="77777777" w:rsidR="004C2238" w:rsidRDefault="006A3E1D">
      <w:pPr>
        <w:spacing w:before="240" w:after="240"/>
        <w:jc w:val="both"/>
        <w:rPr>
          <w:b/>
          <w:bCs/>
          <w:sz w:val="24"/>
          <w:szCs w:val="24"/>
        </w:rPr>
      </w:pPr>
      <w:r>
        <w:rPr>
          <w:b/>
          <w:bCs/>
          <w:sz w:val="24"/>
          <w:szCs w:val="24"/>
        </w:rPr>
        <w:t>1.3. Contexto normativo</w:t>
      </w:r>
    </w:p>
    <w:p w14:paraId="3131C63F" w14:textId="77777777" w:rsidR="004C2238" w:rsidRDefault="006A3E1D">
      <w:pPr>
        <w:spacing w:before="240" w:after="240"/>
        <w:jc w:val="both"/>
        <w:rPr>
          <w:sz w:val="24"/>
          <w:szCs w:val="24"/>
        </w:rPr>
      </w:pPr>
      <w:r>
        <w:rPr>
          <w:sz w:val="24"/>
          <w:szCs w:val="24"/>
        </w:rPr>
        <w:t>La enajenación directa de bienes fiscales ocupados se encuentra regulada por un conjunto de disposiciones legales orientadas a la gestión eficiente del patrimonio inmobiliario público, la regularización de ocupaciones y la protección de los bienes fiscales de las entidades territoriales y demás entidades públicas. Este marco normativo se compone de tres hitos principales:</w:t>
      </w:r>
    </w:p>
    <w:p w14:paraId="5D8F1F66" w14:textId="77777777" w:rsidR="004C2238" w:rsidRPr="00823287" w:rsidRDefault="006A3E1D" w:rsidP="00823287">
      <w:pPr>
        <w:pStyle w:val="Ttulo2"/>
        <w:rPr>
          <w:rFonts w:ascii="Arial" w:hAnsi="Arial" w:cs="Arial"/>
          <w:b/>
          <w:bCs/>
          <w:color w:val="000000" w:themeColor="text1"/>
          <w:sz w:val="24"/>
          <w:szCs w:val="24"/>
        </w:rPr>
      </w:pPr>
      <w:bookmarkStart w:id="41" w:name="_Toc233705375"/>
      <w:r w:rsidRPr="00823287">
        <w:rPr>
          <w:rFonts w:ascii="Arial" w:hAnsi="Arial" w:cs="Arial"/>
          <w:b/>
          <w:bCs/>
          <w:color w:val="000000" w:themeColor="text1"/>
          <w:sz w:val="24"/>
          <w:szCs w:val="24"/>
        </w:rPr>
        <w:lastRenderedPageBreak/>
        <w:t>A. El régimen de cesión y enajenación: Ley 708 de 2001</w:t>
      </w:r>
      <w:bookmarkEnd w:id="41"/>
    </w:p>
    <w:p w14:paraId="56B474F4" w14:textId="77777777" w:rsidR="004C2238" w:rsidRDefault="006A3E1D">
      <w:pPr>
        <w:spacing w:before="240" w:after="240"/>
        <w:jc w:val="both"/>
        <w:rPr>
          <w:sz w:val="24"/>
          <w:szCs w:val="24"/>
        </w:rPr>
      </w:pPr>
      <w:r>
        <w:rPr>
          <w:sz w:val="24"/>
          <w:szCs w:val="24"/>
        </w:rPr>
        <w:t>El punto de partida lo constituye el artículo 14 de la Ley 708 de 2001 (modificado por el artículo 277 de la Ley 1955 de 2019), el cual establece el régimen general de cesión a título gratuito y enajenación de bienes fiscales.</w:t>
      </w:r>
    </w:p>
    <w:p w14:paraId="63F799DE" w14:textId="77777777" w:rsidR="004C2238" w:rsidRDefault="006A3E1D">
      <w:pPr>
        <w:numPr>
          <w:ilvl w:val="0"/>
          <w:numId w:val="1"/>
        </w:numPr>
        <w:spacing w:before="240" w:after="240"/>
        <w:jc w:val="both"/>
        <w:rPr>
          <w:sz w:val="24"/>
          <w:szCs w:val="24"/>
        </w:rPr>
      </w:pPr>
      <w:r>
        <w:rPr>
          <w:b/>
          <w:bCs/>
          <w:sz w:val="24"/>
          <w:szCs w:val="24"/>
        </w:rPr>
        <w:t>Disposición especial:</w:t>
      </w:r>
      <w:r>
        <w:rPr>
          <w:sz w:val="24"/>
          <w:szCs w:val="24"/>
        </w:rPr>
        <w:t xml:space="preserve"> Su parágrafo 1° faculta a las entidades públicas para adelantar la enajenación directa de predios fiscales ocupados ilegalmente con mejoras que </w:t>
      </w:r>
      <w:r>
        <w:rPr>
          <w:b/>
          <w:bCs/>
          <w:sz w:val="24"/>
          <w:szCs w:val="24"/>
        </w:rPr>
        <w:t>no tengan destinación económica habitacional</w:t>
      </w:r>
      <w:r>
        <w:rPr>
          <w:sz w:val="24"/>
          <w:szCs w:val="24"/>
        </w:rPr>
        <w:t>. Dicha transferencia se realiza por el valor catastral vigente a la fecha de la oferta.</w:t>
      </w:r>
    </w:p>
    <w:p w14:paraId="2CD6C2B3" w14:textId="77777777" w:rsidR="004C2238" w:rsidRPr="00C65FF1" w:rsidRDefault="006A3E1D" w:rsidP="00823287">
      <w:pPr>
        <w:pStyle w:val="Ttulo2"/>
        <w:rPr>
          <w:rFonts w:ascii="Arial" w:hAnsi="Arial" w:cs="Arial"/>
          <w:b/>
          <w:bCs/>
          <w:color w:val="000000" w:themeColor="text1"/>
          <w:sz w:val="24"/>
          <w:szCs w:val="24"/>
        </w:rPr>
      </w:pPr>
      <w:bookmarkStart w:id="42" w:name="_Toc233705376"/>
      <w:r w:rsidRPr="00C65FF1">
        <w:rPr>
          <w:rFonts w:ascii="Arial" w:hAnsi="Arial" w:cs="Arial"/>
          <w:b/>
          <w:bCs/>
          <w:color w:val="000000" w:themeColor="text1"/>
          <w:sz w:val="24"/>
          <w:szCs w:val="24"/>
        </w:rPr>
        <w:t>B. Operatividad del procedimiento: Decreto 523 de 2021</w:t>
      </w:r>
      <w:bookmarkEnd w:id="42"/>
    </w:p>
    <w:p w14:paraId="45F819D4" w14:textId="77777777" w:rsidR="004C2238" w:rsidRDefault="006A3E1D">
      <w:pPr>
        <w:spacing w:before="240" w:after="240"/>
        <w:jc w:val="both"/>
        <w:rPr>
          <w:sz w:val="24"/>
          <w:szCs w:val="24"/>
        </w:rPr>
      </w:pPr>
      <w:r>
        <w:rPr>
          <w:sz w:val="24"/>
          <w:szCs w:val="24"/>
        </w:rPr>
        <w:t>En desarrollo de la disposición anterior, el Decreto 523 de 2021 reglamentó el procedimiento administrativo aplicable a la enajenación directa de los predios comerciales o no habitacionales. Esta norma define las etapas que deben surtir las administraciones municipales, tales como:</w:t>
      </w:r>
    </w:p>
    <w:p w14:paraId="5A03BAD2" w14:textId="77777777" w:rsidR="004C2238" w:rsidRDefault="006A3E1D">
      <w:pPr>
        <w:numPr>
          <w:ilvl w:val="0"/>
          <w:numId w:val="2"/>
        </w:numPr>
        <w:spacing w:before="240" w:after="240"/>
        <w:jc w:val="both"/>
        <w:rPr>
          <w:sz w:val="24"/>
          <w:szCs w:val="24"/>
        </w:rPr>
      </w:pPr>
      <w:r>
        <w:rPr>
          <w:sz w:val="24"/>
          <w:szCs w:val="24"/>
        </w:rPr>
        <w:t>La identificación y diagnóstico de los predios susceptibles de enajenación.</w:t>
      </w:r>
    </w:p>
    <w:p w14:paraId="5C22FE34" w14:textId="77777777" w:rsidR="004C2238" w:rsidRDefault="006A3E1D">
      <w:pPr>
        <w:numPr>
          <w:ilvl w:val="0"/>
          <w:numId w:val="2"/>
        </w:numPr>
        <w:spacing w:before="240" w:after="240"/>
        <w:jc w:val="both"/>
        <w:rPr>
          <w:sz w:val="24"/>
          <w:szCs w:val="24"/>
        </w:rPr>
      </w:pPr>
      <w:r>
        <w:rPr>
          <w:sz w:val="24"/>
          <w:szCs w:val="24"/>
        </w:rPr>
        <w:t>La estructuración y notificación de la oferta comercial al ocupante.</w:t>
      </w:r>
    </w:p>
    <w:p w14:paraId="457EEAA8" w14:textId="77777777" w:rsidR="004C2238" w:rsidRDefault="006A3E1D">
      <w:pPr>
        <w:numPr>
          <w:ilvl w:val="0"/>
          <w:numId w:val="2"/>
        </w:numPr>
        <w:spacing w:before="240" w:after="240"/>
        <w:jc w:val="both"/>
        <w:rPr>
          <w:sz w:val="24"/>
          <w:szCs w:val="24"/>
        </w:rPr>
      </w:pPr>
      <w:r>
        <w:rPr>
          <w:sz w:val="24"/>
          <w:szCs w:val="24"/>
        </w:rPr>
        <w:t>Las condiciones de aceptación, los plazos, las fórmulas de pago y el procedimiento para la transferencia formal del dominio y su posterior registro.</w:t>
      </w:r>
    </w:p>
    <w:p w14:paraId="30FCF9BC" w14:textId="77777777" w:rsidR="004C2238" w:rsidRPr="00823287" w:rsidRDefault="006A3E1D" w:rsidP="00823287">
      <w:pPr>
        <w:pStyle w:val="Ttulo2"/>
        <w:rPr>
          <w:rFonts w:ascii="Arial" w:hAnsi="Arial" w:cs="Arial"/>
          <w:b/>
          <w:bCs/>
          <w:sz w:val="24"/>
          <w:szCs w:val="24"/>
        </w:rPr>
      </w:pPr>
      <w:bookmarkStart w:id="43" w:name="_Toc233705377"/>
      <w:r w:rsidRPr="00823287">
        <w:rPr>
          <w:rFonts w:ascii="Arial" w:hAnsi="Arial" w:cs="Arial"/>
          <w:b/>
          <w:bCs/>
          <w:color w:val="000000" w:themeColor="text1"/>
          <w:sz w:val="24"/>
          <w:szCs w:val="24"/>
        </w:rPr>
        <w:t>C. Fortalecimiento institucional y vivienda: Ley 2044 de 2020</w:t>
      </w:r>
      <w:bookmarkEnd w:id="43"/>
    </w:p>
    <w:p w14:paraId="74057ECE" w14:textId="77777777" w:rsidR="004C2238" w:rsidRDefault="006A3E1D">
      <w:pPr>
        <w:spacing w:before="240" w:after="240"/>
        <w:jc w:val="both"/>
        <w:rPr>
          <w:sz w:val="24"/>
          <w:szCs w:val="24"/>
        </w:rPr>
      </w:pPr>
      <w:r>
        <w:rPr>
          <w:sz w:val="24"/>
          <w:szCs w:val="24"/>
        </w:rPr>
        <w:t xml:space="preserve">Con el objetivo de optimizar el saneamiento de la propiedad y el acceso a la vivienda, la Ley 2044 de 2020 amplió las facultades de las entidades públicas para transferir inmuebles fiscales destinados a la regularización urbana. Para armonizar el sistema, </w:t>
      </w:r>
      <w:r>
        <w:rPr>
          <w:b/>
          <w:bCs/>
          <w:sz w:val="24"/>
          <w:szCs w:val="24"/>
        </w:rPr>
        <w:t>esta ley modificó formalmente el artículo 3 de la Ley 1001 de 2005</w:t>
      </w:r>
      <w:r>
        <w:rPr>
          <w:sz w:val="24"/>
          <w:szCs w:val="24"/>
        </w:rPr>
        <w:t>, introduciendo una alternativa clave para la gestión municipal:</w:t>
      </w:r>
    </w:p>
    <w:p w14:paraId="11DE990E" w14:textId="77777777" w:rsidR="004C2238" w:rsidRDefault="006A3E1D">
      <w:pPr>
        <w:numPr>
          <w:ilvl w:val="0"/>
          <w:numId w:val="3"/>
        </w:numPr>
        <w:spacing w:before="240" w:after="240"/>
        <w:jc w:val="both"/>
        <w:rPr>
          <w:sz w:val="24"/>
          <w:szCs w:val="24"/>
        </w:rPr>
      </w:pPr>
      <w:r>
        <w:rPr>
          <w:b/>
          <w:bCs/>
          <w:sz w:val="24"/>
          <w:szCs w:val="24"/>
        </w:rPr>
        <w:t>Mecanismo de enajenación directa habitacional:</w:t>
      </w:r>
      <w:r>
        <w:rPr>
          <w:sz w:val="24"/>
          <w:szCs w:val="24"/>
        </w:rPr>
        <w:t xml:space="preserve"> Establece que las entidades públicas podrán enajenar directamente los inmuebles fiscales de su propiedad al ocupante, </w:t>
      </w:r>
      <w:r>
        <w:rPr>
          <w:b/>
          <w:bCs/>
          <w:sz w:val="24"/>
          <w:szCs w:val="24"/>
        </w:rPr>
        <w:t>sin sujeción a las normas de contratación estatal</w:t>
      </w:r>
      <w:r>
        <w:rPr>
          <w:sz w:val="24"/>
          <w:szCs w:val="24"/>
        </w:rPr>
        <w:t>, cuando el inmueble o el hogar interesado no cumpla con los requisitos de vulnerabilidad previstos para la cesión gratuita (dispuestos en el artículo 14 de la Ley 708 de 2001).</w:t>
      </w:r>
    </w:p>
    <w:p w14:paraId="23A25713" w14:textId="77777777" w:rsidR="004C2238" w:rsidRDefault="006A3E1D">
      <w:pPr>
        <w:numPr>
          <w:ilvl w:val="0"/>
          <w:numId w:val="3"/>
        </w:numPr>
        <w:spacing w:before="240" w:after="240"/>
        <w:jc w:val="both"/>
        <w:rPr>
          <w:sz w:val="24"/>
          <w:szCs w:val="24"/>
        </w:rPr>
      </w:pPr>
      <w:r>
        <w:rPr>
          <w:b/>
          <w:bCs/>
          <w:sz w:val="24"/>
          <w:szCs w:val="24"/>
        </w:rPr>
        <w:lastRenderedPageBreak/>
        <w:t>Seguridad jurídica y formalización:</w:t>
      </w:r>
      <w:r>
        <w:rPr>
          <w:sz w:val="24"/>
          <w:szCs w:val="24"/>
        </w:rPr>
        <w:t xml:space="preserve"> La norma estipula que la transferencia se perfeccionará mediante </w:t>
      </w:r>
      <w:r>
        <w:rPr>
          <w:b/>
          <w:bCs/>
          <w:sz w:val="24"/>
          <w:szCs w:val="24"/>
        </w:rPr>
        <w:t>resolución administrativa</w:t>
      </w:r>
      <w:r>
        <w:rPr>
          <w:sz w:val="24"/>
          <w:szCs w:val="24"/>
        </w:rPr>
        <w:t xml:space="preserve"> (la cual presta mérito de título de propiedad) y ordena la constitución técnica de un </w:t>
      </w:r>
      <w:r>
        <w:rPr>
          <w:b/>
          <w:bCs/>
          <w:sz w:val="24"/>
          <w:szCs w:val="24"/>
        </w:rPr>
        <w:t>patrimonio de familia inembargable</w:t>
      </w:r>
      <w:r>
        <w:rPr>
          <w:sz w:val="24"/>
          <w:szCs w:val="24"/>
        </w:rPr>
        <w:t>.</w:t>
      </w:r>
    </w:p>
    <w:p w14:paraId="25F33518" w14:textId="77777777" w:rsidR="004C2238" w:rsidRDefault="006A3E1D">
      <w:pPr>
        <w:numPr>
          <w:ilvl w:val="0"/>
          <w:numId w:val="3"/>
        </w:numPr>
        <w:spacing w:before="240" w:after="240"/>
        <w:jc w:val="both"/>
        <w:rPr>
          <w:sz w:val="24"/>
          <w:szCs w:val="24"/>
        </w:rPr>
      </w:pPr>
      <w:r>
        <w:rPr>
          <w:b/>
          <w:bCs/>
          <w:sz w:val="24"/>
          <w:szCs w:val="24"/>
        </w:rPr>
        <w:t>Condicionantes y restricciones:</w:t>
      </w:r>
      <w:r>
        <w:rPr>
          <w:sz w:val="24"/>
          <w:szCs w:val="24"/>
        </w:rPr>
        <w:t xml:space="preserve"> El proceso queda supeditado a que el predio no se localice en zonas de alto riesgo no mitigable, áreas de protección ambiental o suelos con restricciones urbanísticas insuperables. Asimismo, define las obligaciones financieras a cargo del beneficiario y las consecuencias jurídicas de la no aceptación de la oferta (lo que habilita a la entidad para iniciar las acciones de restitución del bien fiscal).</w:t>
      </w:r>
    </w:p>
    <w:p w14:paraId="7E488E3D" w14:textId="77777777" w:rsidR="004C2238" w:rsidRDefault="006A3E1D">
      <w:pPr>
        <w:spacing w:before="240" w:after="240"/>
        <w:jc w:val="both"/>
        <w:rPr>
          <w:sz w:val="24"/>
          <w:szCs w:val="24"/>
        </w:rPr>
      </w:pPr>
      <w:r>
        <w:rPr>
          <w:sz w:val="24"/>
          <w:szCs w:val="24"/>
        </w:rPr>
        <w:t>De esta manera, el ordenamiento jurídico configura un esquema integral y progresivo. Este marco faculta a las administraciones municipales para priorizar la regularización de la ocupación, garantizar la protección del patrimonio público, mitigar la informalidad y fortalecer la seguridad jurídica del territorio bajo criterios de legalidad, transparencia y planeación urbana.</w:t>
      </w:r>
    </w:p>
    <w:p w14:paraId="4085C707" w14:textId="77777777" w:rsidR="004C2238" w:rsidRDefault="004C2238">
      <w:pPr>
        <w:rPr>
          <w:b/>
          <w:bCs/>
          <w:sz w:val="24"/>
          <w:szCs w:val="24"/>
        </w:rPr>
      </w:pPr>
    </w:p>
    <w:p w14:paraId="67311D99" w14:textId="77777777" w:rsidR="004C2238" w:rsidRDefault="006A3E1D">
      <w:pPr>
        <w:pStyle w:val="Ttulo2"/>
        <w:rPr>
          <w:rFonts w:ascii="Arial" w:eastAsia="Arial" w:hAnsi="Arial" w:cs="Arial"/>
          <w:b/>
          <w:bCs/>
          <w:color w:val="000000"/>
          <w:sz w:val="24"/>
          <w:szCs w:val="24"/>
        </w:rPr>
      </w:pPr>
      <w:bookmarkStart w:id="44" w:name="_Toc233705378"/>
      <w:r>
        <w:rPr>
          <w:rFonts w:ascii="Arial" w:eastAsia="Arial" w:hAnsi="Arial" w:cs="Arial"/>
          <w:b/>
          <w:bCs/>
          <w:color w:val="000000"/>
          <w:sz w:val="24"/>
          <w:szCs w:val="24"/>
        </w:rPr>
        <w:t>1.4 Conceptos básicos</w:t>
      </w:r>
      <w:bookmarkEnd w:id="44"/>
    </w:p>
    <w:p w14:paraId="6249706A" w14:textId="77777777" w:rsidR="004C2238" w:rsidRDefault="006A3E1D">
      <w:pPr>
        <w:rPr>
          <w:sz w:val="24"/>
          <w:szCs w:val="24"/>
        </w:rPr>
      </w:pPr>
      <w:r>
        <w:rPr>
          <w:sz w:val="24"/>
          <w:szCs w:val="24"/>
        </w:rPr>
        <w:t>Es importante que para el desarrollo integral de esta cartilla y en su ejecución se tenga en cuenta:</w:t>
      </w:r>
    </w:p>
    <w:p w14:paraId="366A79AF" w14:textId="77777777" w:rsidR="004C2238" w:rsidRDefault="004C2238">
      <w:pPr>
        <w:jc w:val="center"/>
        <w:rPr>
          <w:b/>
          <w:bCs/>
          <w:sz w:val="24"/>
          <w:szCs w:val="24"/>
        </w:rPr>
      </w:pPr>
    </w:p>
    <w:p w14:paraId="2DCB0CFC" w14:textId="77777777" w:rsidR="004C2238" w:rsidRDefault="006A3E1D">
      <w:pPr>
        <w:numPr>
          <w:ilvl w:val="0"/>
          <w:numId w:val="4"/>
        </w:numPr>
        <w:pBdr>
          <w:top w:val="nil"/>
          <w:left w:val="nil"/>
          <w:bottom w:val="nil"/>
          <w:right w:val="nil"/>
          <w:between w:val="nil"/>
        </w:pBdr>
        <w:rPr>
          <w:b/>
          <w:bCs/>
          <w:sz w:val="24"/>
          <w:szCs w:val="24"/>
        </w:rPr>
      </w:pPr>
      <w:r>
        <w:rPr>
          <w:b/>
          <w:bCs/>
          <w:sz w:val="24"/>
          <w:szCs w:val="24"/>
        </w:rPr>
        <w:t xml:space="preserve">La Enajenación Directa de Bienes Fiscales </w:t>
      </w:r>
    </w:p>
    <w:p w14:paraId="61BDF44A" w14:textId="77777777" w:rsidR="004C2238" w:rsidRDefault="006A3E1D">
      <w:pPr>
        <w:spacing w:before="240" w:after="240"/>
        <w:jc w:val="both"/>
        <w:rPr>
          <w:sz w:val="24"/>
          <w:szCs w:val="24"/>
        </w:rPr>
      </w:pPr>
      <w:r>
        <w:rPr>
          <w:sz w:val="24"/>
          <w:szCs w:val="24"/>
        </w:rPr>
        <w:t>La enajenación directa es un mecanismo excepcional mediante el cual los municipios pueden transferir directamente la propiedad de un bien fiscal a un particular, ya sea ocupante o tercero interesado, sin seguir completamente las normas generales de contratación estatal. Este procedimiento prioriza la regularización de la tenencia irregular y la protección del patrimonio público.</w:t>
      </w:r>
    </w:p>
    <w:p w14:paraId="4F51A56E" w14:textId="77777777" w:rsidR="004C2238" w:rsidRDefault="006A3E1D">
      <w:pPr>
        <w:spacing w:before="240" w:after="240"/>
        <w:jc w:val="both"/>
        <w:rPr>
          <w:sz w:val="24"/>
          <w:szCs w:val="24"/>
        </w:rPr>
      </w:pPr>
      <w:r>
        <w:rPr>
          <w:sz w:val="24"/>
          <w:szCs w:val="24"/>
        </w:rPr>
        <w:t xml:space="preserve">Tal como se detalla en la Cartilla </w:t>
      </w:r>
      <w:proofErr w:type="spellStart"/>
      <w:r>
        <w:rPr>
          <w:sz w:val="24"/>
          <w:szCs w:val="24"/>
        </w:rPr>
        <w:t>Nº</w:t>
      </w:r>
      <w:proofErr w:type="spellEnd"/>
      <w:r>
        <w:rPr>
          <w:sz w:val="24"/>
          <w:szCs w:val="24"/>
        </w:rPr>
        <w:t xml:space="preserve"> 3 “</w:t>
      </w:r>
      <w:r>
        <w:rPr>
          <w:i/>
          <w:iCs/>
          <w:sz w:val="24"/>
          <w:szCs w:val="24"/>
        </w:rPr>
        <w:t>Cesión a título gratuito de bienes fiscales titulables a particulares</w:t>
      </w:r>
      <w:r>
        <w:rPr>
          <w:sz w:val="24"/>
          <w:szCs w:val="24"/>
        </w:rPr>
        <w:t xml:space="preserve">”, la cesión gratuita no procede, cuando el ocupante no es beneficiario de un subsidio de vivienda de interés social (VIS) o no ha ocupado el bien de manera continua por al menos diez (10) años con mejoras o construcciones de destinación económica habitacional, según lo establecido en el artículo 277 de la Ley 1955 de 2019 y el artículo 14 de la Ley 708 de 2001, modificado. </w:t>
      </w:r>
    </w:p>
    <w:p w14:paraId="0A44520B" w14:textId="77777777" w:rsidR="004C2238" w:rsidRDefault="006A3E1D">
      <w:pPr>
        <w:spacing w:before="240" w:after="240"/>
        <w:jc w:val="both"/>
        <w:rPr>
          <w:sz w:val="24"/>
          <w:szCs w:val="24"/>
        </w:rPr>
      </w:pPr>
      <w:r>
        <w:rPr>
          <w:sz w:val="24"/>
          <w:szCs w:val="24"/>
        </w:rPr>
        <w:lastRenderedPageBreak/>
        <w:t>En el mismo sentido, el Decreto 523 de 2021 contempla diferentes situaciones para la enajenación de bienes fiscales ocupados ilegalmente, según el uso del inmueble y el tipo de ocupante. En ese sentido, permite la venta directa de bienes sin uso habitacional por su valor catastral, así como la enajenación de inmuebles con destinación habitacional cuando no procede la cesión gratuita. También incluye casos especiales para organizaciones comunales e instituciones religiosas, y prevé la transferencia de bienes a municipios o su gestión por entidades como CISA.</w:t>
      </w:r>
    </w:p>
    <w:p w14:paraId="7A0C24BE" w14:textId="77777777" w:rsidR="004C2238" w:rsidRDefault="006A3E1D">
      <w:pPr>
        <w:rPr>
          <w:color w:val="EE0000"/>
          <w:sz w:val="24"/>
          <w:szCs w:val="24"/>
        </w:rPr>
      </w:pPr>
      <w:r>
        <w:rPr>
          <w:sz w:val="24"/>
          <w:szCs w:val="24"/>
        </w:rPr>
        <w:t>Así, la Gráfica 2 presenta las principales situaciones en las que procede la enajenación directa, junto con las condiciones aplicables en cada caso.</w:t>
      </w:r>
      <w:r>
        <w:rPr>
          <w:color w:val="EE0000"/>
          <w:sz w:val="24"/>
          <w:szCs w:val="24"/>
        </w:rPr>
        <w:t xml:space="preserve"> </w:t>
      </w:r>
    </w:p>
    <w:p w14:paraId="3EEA886E" w14:textId="77777777" w:rsidR="004C2238" w:rsidRDefault="004C2238">
      <w:pPr>
        <w:rPr>
          <w:color w:val="EE0000"/>
          <w:sz w:val="24"/>
          <w:szCs w:val="24"/>
        </w:rPr>
      </w:pPr>
    </w:p>
    <w:p w14:paraId="4680C418" w14:textId="77777777" w:rsidR="004C2238" w:rsidRDefault="006A3E1D">
      <w:pPr>
        <w:numPr>
          <w:ilvl w:val="0"/>
          <w:numId w:val="12"/>
        </w:numPr>
        <w:rPr>
          <w:b/>
          <w:bCs/>
          <w:sz w:val="24"/>
          <w:szCs w:val="24"/>
        </w:rPr>
      </w:pPr>
      <w:r>
        <w:rPr>
          <w:b/>
          <w:bCs/>
          <w:sz w:val="24"/>
          <w:szCs w:val="24"/>
        </w:rPr>
        <w:t>Improcedencia de la enajenación directa</w:t>
      </w:r>
    </w:p>
    <w:p w14:paraId="54EFA848" w14:textId="77777777" w:rsidR="004C2238" w:rsidRDefault="004C2238">
      <w:pPr>
        <w:jc w:val="both"/>
        <w:rPr>
          <w:b/>
          <w:bCs/>
          <w:sz w:val="24"/>
          <w:szCs w:val="24"/>
        </w:rPr>
      </w:pPr>
    </w:p>
    <w:p w14:paraId="0917AAA6" w14:textId="77777777" w:rsidR="004C2238" w:rsidRDefault="006A3E1D">
      <w:pPr>
        <w:jc w:val="both"/>
        <w:rPr>
          <w:sz w:val="24"/>
          <w:szCs w:val="24"/>
        </w:rPr>
      </w:pPr>
      <w:r>
        <w:rPr>
          <w:sz w:val="24"/>
          <w:szCs w:val="24"/>
        </w:rPr>
        <w:t>La enajenación directa del predio no procederá cuando se verifique la existencia de restricciones técnicas, ambientales o de ordenamiento territorial que impida su transferencia, el municipio se abstendrá de adelantar el proceso de transferencia cuando el inmueble se encuentre ubicado en zonas de alto riesgo no mitigable, cuando haga parte de áreas destinadas a reserva para obras públicas, infraestructura vial o infraestructura de servicios públicos; o cuando se localice dentro de áreas protegidas, de conservación ambiental o de protección de recursos naturales, de conformidad con la normatividad vigente y los instrumentos de planificación territorial aplicables.</w:t>
      </w:r>
    </w:p>
    <w:p w14:paraId="6BFA69A2" w14:textId="77777777" w:rsidR="004C2238" w:rsidRDefault="004C2238">
      <w:pPr>
        <w:jc w:val="center"/>
        <w:rPr>
          <w:sz w:val="24"/>
          <w:szCs w:val="24"/>
        </w:rPr>
      </w:pPr>
    </w:p>
    <w:p w14:paraId="7BB5DAE6" w14:textId="77777777" w:rsidR="00823287" w:rsidRDefault="00823287">
      <w:pPr>
        <w:pBdr>
          <w:top w:val="nil"/>
          <w:left w:val="nil"/>
          <w:bottom w:val="nil"/>
          <w:right w:val="nil"/>
          <w:between w:val="nil"/>
        </w:pBdr>
        <w:spacing w:after="200" w:line="240" w:lineRule="auto"/>
        <w:jc w:val="center"/>
        <w:rPr>
          <w:b/>
          <w:bCs/>
          <w:sz w:val="24"/>
          <w:szCs w:val="24"/>
        </w:rPr>
      </w:pPr>
    </w:p>
    <w:p w14:paraId="11C09E29" w14:textId="77777777" w:rsidR="00823287" w:rsidRDefault="00823287">
      <w:pPr>
        <w:pBdr>
          <w:top w:val="nil"/>
          <w:left w:val="nil"/>
          <w:bottom w:val="nil"/>
          <w:right w:val="nil"/>
          <w:between w:val="nil"/>
        </w:pBdr>
        <w:spacing w:after="200" w:line="240" w:lineRule="auto"/>
        <w:jc w:val="center"/>
        <w:rPr>
          <w:b/>
          <w:bCs/>
          <w:sz w:val="24"/>
          <w:szCs w:val="24"/>
        </w:rPr>
      </w:pPr>
    </w:p>
    <w:p w14:paraId="4313BDA0" w14:textId="77777777" w:rsidR="00823287" w:rsidRDefault="00823287">
      <w:pPr>
        <w:pBdr>
          <w:top w:val="nil"/>
          <w:left w:val="nil"/>
          <w:bottom w:val="nil"/>
          <w:right w:val="nil"/>
          <w:between w:val="nil"/>
        </w:pBdr>
        <w:spacing w:after="200" w:line="240" w:lineRule="auto"/>
        <w:jc w:val="center"/>
        <w:rPr>
          <w:b/>
          <w:bCs/>
          <w:sz w:val="24"/>
          <w:szCs w:val="24"/>
        </w:rPr>
      </w:pPr>
    </w:p>
    <w:p w14:paraId="2DF2CCA8" w14:textId="77777777" w:rsidR="00823287" w:rsidRDefault="00823287">
      <w:pPr>
        <w:pBdr>
          <w:top w:val="nil"/>
          <w:left w:val="nil"/>
          <w:bottom w:val="nil"/>
          <w:right w:val="nil"/>
          <w:between w:val="nil"/>
        </w:pBdr>
        <w:spacing w:after="200" w:line="240" w:lineRule="auto"/>
        <w:jc w:val="center"/>
        <w:rPr>
          <w:b/>
          <w:bCs/>
          <w:sz w:val="24"/>
          <w:szCs w:val="24"/>
        </w:rPr>
      </w:pPr>
    </w:p>
    <w:p w14:paraId="214C62C9" w14:textId="77777777" w:rsidR="00823287" w:rsidRDefault="00823287">
      <w:pPr>
        <w:pBdr>
          <w:top w:val="nil"/>
          <w:left w:val="nil"/>
          <w:bottom w:val="nil"/>
          <w:right w:val="nil"/>
          <w:between w:val="nil"/>
        </w:pBdr>
        <w:spacing w:after="200" w:line="240" w:lineRule="auto"/>
        <w:jc w:val="center"/>
        <w:rPr>
          <w:b/>
          <w:bCs/>
          <w:sz w:val="24"/>
          <w:szCs w:val="24"/>
        </w:rPr>
      </w:pPr>
    </w:p>
    <w:p w14:paraId="7FBC4CCF" w14:textId="77777777" w:rsidR="00823287" w:rsidRDefault="00823287">
      <w:pPr>
        <w:pBdr>
          <w:top w:val="nil"/>
          <w:left w:val="nil"/>
          <w:bottom w:val="nil"/>
          <w:right w:val="nil"/>
          <w:between w:val="nil"/>
        </w:pBdr>
        <w:spacing w:after="200" w:line="240" w:lineRule="auto"/>
        <w:jc w:val="center"/>
        <w:rPr>
          <w:b/>
          <w:bCs/>
          <w:sz w:val="24"/>
          <w:szCs w:val="24"/>
        </w:rPr>
      </w:pPr>
    </w:p>
    <w:p w14:paraId="056CE25D" w14:textId="77777777" w:rsidR="00823287" w:rsidRDefault="00823287">
      <w:pPr>
        <w:pBdr>
          <w:top w:val="nil"/>
          <w:left w:val="nil"/>
          <w:bottom w:val="nil"/>
          <w:right w:val="nil"/>
          <w:between w:val="nil"/>
        </w:pBdr>
        <w:spacing w:after="200" w:line="240" w:lineRule="auto"/>
        <w:jc w:val="center"/>
        <w:rPr>
          <w:b/>
          <w:bCs/>
          <w:sz w:val="24"/>
          <w:szCs w:val="24"/>
        </w:rPr>
      </w:pPr>
    </w:p>
    <w:p w14:paraId="28A163CB" w14:textId="77777777" w:rsidR="00823287" w:rsidRDefault="00823287">
      <w:pPr>
        <w:pBdr>
          <w:top w:val="nil"/>
          <w:left w:val="nil"/>
          <w:bottom w:val="nil"/>
          <w:right w:val="nil"/>
          <w:between w:val="nil"/>
        </w:pBdr>
        <w:spacing w:after="200" w:line="240" w:lineRule="auto"/>
        <w:jc w:val="center"/>
        <w:rPr>
          <w:b/>
          <w:bCs/>
          <w:sz w:val="24"/>
          <w:szCs w:val="24"/>
        </w:rPr>
      </w:pPr>
    </w:p>
    <w:p w14:paraId="4D57B5A6" w14:textId="77777777" w:rsidR="00823287" w:rsidRDefault="00823287">
      <w:pPr>
        <w:pBdr>
          <w:top w:val="nil"/>
          <w:left w:val="nil"/>
          <w:bottom w:val="nil"/>
          <w:right w:val="nil"/>
          <w:between w:val="nil"/>
        </w:pBdr>
        <w:spacing w:after="200" w:line="240" w:lineRule="auto"/>
        <w:jc w:val="center"/>
        <w:rPr>
          <w:b/>
          <w:bCs/>
          <w:sz w:val="24"/>
          <w:szCs w:val="24"/>
        </w:rPr>
      </w:pPr>
    </w:p>
    <w:p w14:paraId="00B36910" w14:textId="527E2B80" w:rsidR="004C2238" w:rsidRDefault="006A3E1D">
      <w:pPr>
        <w:pBdr>
          <w:top w:val="nil"/>
          <w:left w:val="nil"/>
          <w:bottom w:val="nil"/>
          <w:right w:val="nil"/>
          <w:between w:val="nil"/>
        </w:pBdr>
        <w:spacing w:after="200" w:line="240" w:lineRule="auto"/>
        <w:jc w:val="center"/>
        <w:rPr>
          <w:b/>
          <w:bCs/>
          <w:sz w:val="24"/>
          <w:szCs w:val="24"/>
        </w:rPr>
      </w:pPr>
      <w:r>
        <w:rPr>
          <w:b/>
          <w:bCs/>
          <w:sz w:val="24"/>
          <w:szCs w:val="24"/>
        </w:rPr>
        <w:lastRenderedPageBreak/>
        <w:t>Gráfica 2. Escenarios en los que procede la enajenación directa</w:t>
      </w:r>
    </w:p>
    <w:p w14:paraId="7DD22C01" w14:textId="77777777" w:rsidR="004C2238" w:rsidRDefault="004C2238">
      <w:pPr>
        <w:jc w:val="both"/>
        <w:rPr>
          <w:sz w:val="24"/>
          <w:szCs w:val="24"/>
        </w:rPr>
      </w:pPr>
    </w:p>
    <w:p w14:paraId="02EF0E1E" w14:textId="77777777" w:rsidR="004C2238" w:rsidRDefault="006A3E1D">
      <w:pPr>
        <w:jc w:val="both"/>
        <w:rPr>
          <w:sz w:val="24"/>
          <w:szCs w:val="24"/>
        </w:rPr>
      </w:pPr>
      <w:r>
        <w:rPr>
          <w:noProof/>
        </w:rPr>
        <w:drawing>
          <wp:inline distT="114300" distB="114300" distL="114300" distR="114300" wp14:anchorId="16168144" wp14:editId="7869BF3A">
            <wp:extent cx="5612130" cy="2857500"/>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5612130" cy="2857500"/>
                    </a:xfrm>
                    <a:prstGeom prst="rect">
                      <a:avLst/>
                    </a:prstGeom>
                    <a:ln/>
                  </pic:spPr>
                </pic:pic>
              </a:graphicData>
            </a:graphic>
          </wp:inline>
        </w:drawing>
      </w:r>
    </w:p>
    <w:p w14:paraId="27FD3532" w14:textId="77777777" w:rsidR="004C2238" w:rsidRDefault="004C2238">
      <w:pPr>
        <w:pBdr>
          <w:top w:val="nil"/>
          <w:left w:val="nil"/>
          <w:bottom w:val="nil"/>
          <w:right w:val="nil"/>
          <w:between w:val="nil"/>
        </w:pBdr>
        <w:jc w:val="center"/>
        <w:rPr>
          <w:b/>
          <w:bCs/>
          <w:sz w:val="24"/>
          <w:szCs w:val="24"/>
        </w:rPr>
      </w:pPr>
    </w:p>
    <w:p w14:paraId="37EE7DA8" w14:textId="77777777" w:rsidR="004C2238" w:rsidRDefault="006A3E1D">
      <w:pPr>
        <w:jc w:val="center"/>
        <w:rPr>
          <w:color w:val="EE0000"/>
          <w:sz w:val="16"/>
          <w:szCs w:val="16"/>
        </w:rPr>
      </w:pPr>
      <w:r>
        <w:rPr>
          <w:sz w:val="16"/>
          <w:szCs w:val="16"/>
        </w:rPr>
        <w:t>Fuente: elaboración propia</w:t>
      </w:r>
    </w:p>
    <w:p w14:paraId="5357733E" w14:textId="77777777" w:rsidR="004C2238" w:rsidRDefault="004C2238">
      <w:pPr>
        <w:pBdr>
          <w:top w:val="nil"/>
          <w:left w:val="nil"/>
          <w:bottom w:val="nil"/>
          <w:right w:val="nil"/>
          <w:between w:val="nil"/>
        </w:pBdr>
        <w:rPr>
          <w:color w:val="EE0000"/>
          <w:sz w:val="24"/>
          <w:szCs w:val="24"/>
        </w:rPr>
      </w:pPr>
    </w:p>
    <w:p w14:paraId="5CECE9DD" w14:textId="77777777" w:rsidR="004C2238" w:rsidRDefault="006A3E1D">
      <w:pPr>
        <w:pStyle w:val="Ttulo1"/>
        <w:jc w:val="center"/>
        <w:rPr>
          <w:rFonts w:ascii="Arial" w:eastAsia="Arial" w:hAnsi="Arial" w:cs="Arial"/>
          <w:b/>
          <w:bCs/>
          <w:color w:val="000000"/>
          <w:sz w:val="24"/>
          <w:szCs w:val="24"/>
        </w:rPr>
      </w:pPr>
      <w:bookmarkStart w:id="45" w:name="_Toc233705379"/>
      <w:r>
        <w:rPr>
          <w:rFonts w:ascii="Arial" w:eastAsia="Arial" w:hAnsi="Arial" w:cs="Arial"/>
          <w:b/>
          <w:bCs/>
          <w:color w:val="000000"/>
          <w:sz w:val="24"/>
          <w:szCs w:val="24"/>
        </w:rPr>
        <w:t>Capítulo 2</w:t>
      </w:r>
      <w:bookmarkEnd w:id="45"/>
    </w:p>
    <w:p w14:paraId="07D4A30C" w14:textId="77777777" w:rsidR="004C2238" w:rsidRDefault="006A3E1D">
      <w:pPr>
        <w:pStyle w:val="Ttulo1"/>
        <w:jc w:val="center"/>
        <w:rPr>
          <w:rFonts w:ascii="Arial" w:eastAsia="Arial" w:hAnsi="Arial" w:cs="Arial"/>
          <w:b/>
          <w:bCs/>
          <w:color w:val="000000"/>
          <w:sz w:val="24"/>
          <w:szCs w:val="24"/>
        </w:rPr>
      </w:pPr>
      <w:bookmarkStart w:id="46" w:name="_Toc233705380"/>
      <w:r>
        <w:rPr>
          <w:rFonts w:ascii="Arial" w:eastAsia="Arial" w:hAnsi="Arial" w:cs="Arial"/>
          <w:b/>
          <w:bCs/>
          <w:color w:val="000000"/>
          <w:sz w:val="24"/>
          <w:szCs w:val="24"/>
        </w:rPr>
        <w:t>Pasos para la Enajenación Directa de Bienes Fiscales</w:t>
      </w:r>
      <w:bookmarkEnd w:id="46"/>
    </w:p>
    <w:p w14:paraId="037FBC16" w14:textId="77777777" w:rsidR="004C2238" w:rsidRDefault="004C2238">
      <w:pPr>
        <w:pBdr>
          <w:top w:val="nil"/>
          <w:left w:val="nil"/>
          <w:bottom w:val="nil"/>
          <w:right w:val="nil"/>
          <w:between w:val="nil"/>
        </w:pBdr>
        <w:jc w:val="center"/>
        <w:rPr>
          <w:b/>
          <w:bCs/>
          <w:sz w:val="24"/>
          <w:szCs w:val="24"/>
        </w:rPr>
      </w:pPr>
    </w:p>
    <w:p w14:paraId="565F385C" w14:textId="77777777" w:rsidR="004C2238" w:rsidRDefault="006A3E1D">
      <w:pPr>
        <w:pBdr>
          <w:top w:val="nil"/>
          <w:left w:val="nil"/>
          <w:bottom w:val="nil"/>
          <w:right w:val="nil"/>
          <w:between w:val="nil"/>
        </w:pBdr>
        <w:jc w:val="both"/>
        <w:rPr>
          <w:sz w:val="24"/>
          <w:szCs w:val="24"/>
        </w:rPr>
      </w:pPr>
      <w:r>
        <w:rPr>
          <w:sz w:val="24"/>
          <w:szCs w:val="24"/>
        </w:rPr>
        <w:t>El presente capítulo describe de manera secuencial los pasos para la enajenación directa de bienes fiscales ocupados ilegalmente en el ámbito municipal, desde la verificación de la competencia y las autorizaciones necesarias, hasta la actualización final del inventario municipal.</w:t>
      </w:r>
    </w:p>
    <w:p w14:paraId="1E020D3F" w14:textId="77777777" w:rsidR="004C2238" w:rsidRDefault="004C2238">
      <w:pPr>
        <w:pBdr>
          <w:top w:val="nil"/>
          <w:left w:val="nil"/>
          <w:bottom w:val="nil"/>
          <w:right w:val="nil"/>
          <w:between w:val="nil"/>
        </w:pBdr>
        <w:jc w:val="both"/>
        <w:rPr>
          <w:sz w:val="24"/>
          <w:szCs w:val="24"/>
        </w:rPr>
      </w:pPr>
    </w:p>
    <w:p w14:paraId="4FC2EBF9" w14:textId="77777777" w:rsidR="004C2238" w:rsidRDefault="006A3E1D">
      <w:pPr>
        <w:pBdr>
          <w:top w:val="nil"/>
          <w:left w:val="nil"/>
          <w:bottom w:val="nil"/>
          <w:right w:val="nil"/>
          <w:between w:val="nil"/>
        </w:pBdr>
        <w:jc w:val="both"/>
        <w:rPr>
          <w:sz w:val="24"/>
          <w:szCs w:val="24"/>
        </w:rPr>
      </w:pPr>
      <w:r>
        <w:rPr>
          <w:sz w:val="24"/>
          <w:szCs w:val="24"/>
        </w:rPr>
        <w:t>Los pasos para adelantar el proceso de enajenación directa aplicarán para los 3 escenarios de procedencia detallados en la gráfica No. 1.</w:t>
      </w:r>
    </w:p>
    <w:p w14:paraId="03E3913E" w14:textId="77777777" w:rsidR="004C2238" w:rsidRDefault="004C2238">
      <w:pPr>
        <w:pBdr>
          <w:top w:val="nil"/>
          <w:left w:val="nil"/>
          <w:bottom w:val="nil"/>
          <w:right w:val="nil"/>
          <w:between w:val="nil"/>
        </w:pBdr>
        <w:rPr>
          <w:b/>
          <w:bCs/>
          <w:sz w:val="24"/>
          <w:szCs w:val="24"/>
        </w:rPr>
      </w:pPr>
    </w:p>
    <w:p w14:paraId="4C47AC92" w14:textId="77777777" w:rsidR="004C2238" w:rsidRDefault="004C2238">
      <w:pPr>
        <w:pBdr>
          <w:top w:val="nil"/>
          <w:left w:val="nil"/>
          <w:bottom w:val="nil"/>
          <w:right w:val="nil"/>
          <w:between w:val="nil"/>
        </w:pBdr>
        <w:jc w:val="center"/>
        <w:rPr>
          <w:b/>
          <w:bCs/>
          <w:sz w:val="24"/>
          <w:szCs w:val="24"/>
        </w:rPr>
      </w:pPr>
    </w:p>
    <w:p w14:paraId="19A42C4D" w14:textId="77777777" w:rsidR="00823287" w:rsidRDefault="00823287">
      <w:pPr>
        <w:pBdr>
          <w:top w:val="nil"/>
          <w:left w:val="nil"/>
          <w:bottom w:val="nil"/>
          <w:right w:val="nil"/>
          <w:between w:val="nil"/>
        </w:pBdr>
        <w:spacing w:after="200" w:line="240" w:lineRule="auto"/>
        <w:jc w:val="center"/>
        <w:rPr>
          <w:b/>
          <w:bCs/>
          <w:color w:val="000000"/>
          <w:sz w:val="24"/>
          <w:szCs w:val="24"/>
        </w:rPr>
      </w:pPr>
    </w:p>
    <w:p w14:paraId="39989D34" w14:textId="77777777" w:rsidR="00823287" w:rsidRDefault="00823287">
      <w:pPr>
        <w:pBdr>
          <w:top w:val="nil"/>
          <w:left w:val="nil"/>
          <w:bottom w:val="nil"/>
          <w:right w:val="nil"/>
          <w:between w:val="nil"/>
        </w:pBdr>
        <w:spacing w:after="200" w:line="240" w:lineRule="auto"/>
        <w:jc w:val="center"/>
        <w:rPr>
          <w:b/>
          <w:bCs/>
          <w:color w:val="000000"/>
          <w:sz w:val="24"/>
          <w:szCs w:val="24"/>
        </w:rPr>
      </w:pPr>
    </w:p>
    <w:p w14:paraId="74B44DF4" w14:textId="4A444F07" w:rsidR="004C2238" w:rsidRDefault="006A3E1D">
      <w:pPr>
        <w:pBdr>
          <w:top w:val="nil"/>
          <w:left w:val="nil"/>
          <w:bottom w:val="nil"/>
          <w:right w:val="nil"/>
          <w:between w:val="nil"/>
        </w:pBdr>
        <w:spacing w:after="200" w:line="240" w:lineRule="auto"/>
        <w:jc w:val="center"/>
        <w:rPr>
          <w:b/>
          <w:bCs/>
          <w:color w:val="000000"/>
          <w:sz w:val="24"/>
          <w:szCs w:val="24"/>
        </w:rPr>
      </w:pPr>
      <w:r>
        <w:rPr>
          <w:b/>
          <w:bCs/>
          <w:color w:val="000000"/>
          <w:sz w:val="24"/>
          <w:szCs w:val="24"/>
        </w:rPr>
        <w:lastRenderedPageBreak/>
        <w:t xml:space="preserve">Imagen 2. Resumen pasos de la Enajenación Directa de Bienes Fiscales </w:t>
      </w:r>
    </w:p>
    <w:p w14:paraId="441F7F94" w14:textId="77777777" w:rsidR="004C2238" w:rsidRDefault="004C2238">
      <w:pPr>
        <w:pBdr>
          <w:top w:val="nil"/>
          <w:left w:val="nil"/>
          <w:bottom w:val="nil"/>
          <w:right w:val="nil"/>
          <w:between w:val="nil"/>
        </w:pBdr>
        <w:jc w:val="center"/>
        <w:rPr>
          <w:b/>
          <w:bCs/>
          <w:sz w:val="24"/>
          <w:szCs w:val="24"/>
        </w:rPr>
      </w:pPr>
    </w:p>
    <w:p w14:paraId="076E26DD" w14:textId="77777777" w:rsidR="004C2238" w:rsidRDefault="006A3E1D">
      <w:pPr>
        <w:pBdr>
          <w:top w:val="nil"/>
          <w:left w:val="nil"/>
          <w:bottom w:val="nil"/>
          <w:right w:val="nil"/>
          <w:between w:val="nil"/>
        </w:pBdr>
        <w:jc w:val="center"/>
        <w:rPr>
          <w:b/>
          <w:bCs/>
          <w:sz w:val="24"/>
          <w:szCs w:val="24"/>
        </w:rPr>
      </w:pPr>
      <w:r>
        <w:rPr>
          <w:b/>
          <w:bCs/>
          <w:noProof/>
          <w:sz w:val="24"/>
          <w:szCs w:val="24"/>
        </w:rPr>
        <w:drawing>
          <wp:inline distT="0" distB="0" distL="0" distR="0" wp14:anchorId="0BDA16C0" wp14:editId="48A76ED5">
            <wp:extent cx="5612130" cy="2676525"/>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t="16521" b="19886"/>
                    <a:stretch>
                      <a:fillRect/>
                    </a:stretch>
                  </pic:blipFill>
                  <pic:spPr>
                    <a:xfrm>
                      <a:off x="0" y="0"/>
                      <a:ext cx="5612130" cy="2676525"/>
                    </a:xfrm>
                    <a:prstGeom prst="rect">
                      <a:avLst/>
                    </a:prstGeom>
                    <a:ln/>
                  </pic:spPr>
                </pic:pic>
              </a:graphicData>
            </a:graphic>
          </wp:inline>
        </w:drawing>
      </w:r>
    </w:p>
    <w:p w14:paraId="27D59473" w14:textId="77777777" w:rsidR="004C2238" w:rsidRDefault="006A3E1D">
      <w:pPr>
        <w:pBdr>
          <w:top w:val="nil"/>
          <w:left w:val="nil"/>
          <w:bottom w:val="nil"/>
          <w:right w:val="nil"/>
          <w:between w:val="nil"/>
        </w:pBdr>
        <w:jc w:val="center"/>
        <w:rPr>
          <w:sz w:val="16"/>
          <w:szCs w:val="16"/>
        </w:rPr>
      </w:pPr>
      <w:r>
        <w:rPr>
          <w:sz w:val="16"/>
          <w:szCs w:val="16"/>
        </w:rPr>
        <w:t>Fuente: elaboración propia</w:t>
      </w:r>
    </w:p>
    <w:p w14:paraId="47ACC10A" w14:textId="77777777" w:rsidR="004C2238" w:rsidRDefault="004C2238">
      <w:pPr>
        <w:jc w:val="center"/>
        <w:rPr>
          <w:b/>
          <w:bCs/>
          <w:sz w:val="24"/>
          <w:szCs w:val="24"/>
        </w:rPr>
      </w:pPr>
    </w:p>
    <w:p w14:paraId="49767E7D" w14:textId="77777777" w:rsidR="004C2238" w:rsidRDefault="004C2238">
      <w:pPr>
        <w:jc w:val="center"/>
        <w:rPr>
          <w:b/>
          <w:bCs/>
          <w:sz w:val="24"/>
          <w:szCs w:val="24"/>
        </w:rPr>
      </w:pPr>
    </w:p>
    <w:p w14:paraId="61DF63CA" w14:textId="77777777" w:rsidR="004C2238" w:rsidRDefault="004C2238">
      <w:pPr>
        <w:jc w:val="center"/>
        <w:rPr>
          <w:b/>
          <w:bCs/>
          <w:sz w:val="24"/>
          <w:szCs w:val="24"/>
        </w:rPr>
      </w:pPr>
    </w:p>
    <w:p w14:paraId="5204292E" w14:textId="77777777" w:rsidR="004C2238" w:rsidRDefault="006A3E1D">
      <w:pPr>
        <w:pStyle w:val="Ttulo2"/>
      </w:pPr>
      <w:bookmarkStart w:id="47" w:name="_Toc233705381"/>
      <w:r>
        <w:rPr>
          <w:rFonts w:ascii="Arial" w:eastAsia="Arial" w:hAnsi="Arial" w:cs="Arial"/>
          <w:b/>
          <w:bCs/>
          <w:color w:val="000000"/>
          <w:sz w:val="24"/>
          <w:szCs w:val="24"/>
        </w:rPr>
        <w:t>Paso 1. Verificación de competencias y autorizaciones</w:t>
      </w:r>
      <w:bookmarkEnd w:id="47"/>
    </w:p>
    <w:p w14:paraId="04AC99AA" w14:textId="77777777" w:rsidR="004C2238" w:rsidRDefault="004C2238">
      <w:pPr>
        <w:rPr>
          <w:sz w:val="24"/>
          <w:szCs w:val="24"/>
        </w:rPr>
      </w:pPr>
    </w:p>
    <w:p w14:paraId="6C8FBAF7" w14:textId="77777777" w:rsidR="004C2238" w:rsidRDefault="006A3E1D">
      <w:pPr>
        <w:jc w:val="both"/>
        <w:rPr>
          <w:sz w:val="24"/>
          <w:szCs w:val="24"/>
        </w:rPr>
      </w:pPr>
      <w:r>
        <w:rPr>
          <w:sz w:val="24"/>
          <w:szCs w:val="24"/>
        </w:rPr>
        <w:t>Este paso inicial es fundamental para asegurar la legalidad del proceso y prevenir nulidades. En él se deben realizar las verificaciones y obtener las autorizaciones necesarias para dar inicio correctamente al procedimiento.</w:t>
      </w:r>
    </w:p>
    <w:p w14:paraId="61047603" w14:textId="77777777" w:rsidR="004C2238" w:rsidRDefault="004C2238">
      <w:pPr>
        <w:jc w:val="both"/>
        <w:rPr>
          <w:sz w:val="24"/>
          <w:szCs w:val="24"/>
        </w:rPr>
      </w:pPr>
    </w:p>
    <w:p w14:paraId="03303AAB" w14:textId="77777777" w:rsidR="004C2238" w:rsidRDefault="006A3E1D">
      <w:pPr>
        <w:numPr>
          <w:ilvl w:val="0"/>
          <w:numId w:val="8"/>
        </w:numPr>
        <w:jc w:val="both"/>
        <w:rPr>
          <w:b/>
          <w:bCs/>
          <w:sz w:val="24"/>
          <w:szCs w:val="24"/>
        </w:rPr>
      </w:pPr>
      <w:r>
        <w:rPr>
          <w:b/>
          <w:bCs/>
          <w:sz w:val="24"/>
          <w:szCs w:val="24"/>
        </w:rPr>
        <w:t xml:space="preserve">Autorizaciones o facultades, </w:t>
      </w:r>
      <w:r>
        <w:rPr>
          <w:sz w:val="24"/>
          <w:szCs w:val="24"/>
        </w:rPr>
        <w:t>En el procedimiento de enajenación directa de bienes fiscales ocupados ilegalmente por el municipio, es fundamental contar con la autorización previa del Concejo Municipal mediante un acuerdo. Esta autorización, prevista en el numeral 3 del artículo 313 de la Constitución Política, permite al alcalde disponer de los bienes del municipio garantizando la transparencia y la legalidad del proceso.</w:t>
      </w:r>
    </w:p>
    <w:p w14:paraId="6C4762F9" w14:textId="77777777" w:rsidR="004C2238" w:rsidRDefault="006A3E1D">
      <w:pPr>
        <w:spacing w:before="240" w:after="240"/>
        <w:ind w:left="708"/>
        <w:jc w:val="both"/>
        <w:rPr>
          <w:sz w:val="24"/>
          <w:szCs w:val="24"/>
        </w:rPr>
      </w:pPr>
      <w:r>
        <w:rPr>
          <w:sz w:val="24"/>
          <w:szCs w:val="24"/>
        </w:rPr>
        <w:t xml:space="preserve">El acuerdo debe precisar los bienes a enajenar, las condiciones de la operación, incluyendo el valor catastral, el mecanismo de transferencia y los </w:t>
      </w:r>
      <w:r>
        <w:rPr>
          <w:sz w:val="24"/>
          <w:szCs w:val="24"/>
        </w:rPr>
        <w:lastRenderedPageBreak/>
        <w:t>límites aplicables, asegurando así que la regularización y la transferencia onerosa se realicen de manera correcta y evitando posibles nulidades.</w:t>
      </w:r>
    </w:p>
    <w:p w14:paraId="09ACD4C9" w14:textId="77777777" w:rsidR="004C2238" w:rsidRDefault="006A3E1D">
      <w:pPr>
        <w:numPr>
          <w:ilvl w:val="0"/>
          <w:numId w:val="10"/>
        </w:numPr>
        <w:spacing w:before="240" w:after="240"/>
        <w:jc w:val="both"/>
        <w:rPr>
          <w:b/>
          <w:bCs/>
          <w:sz w:val="24"/>
          <w:szCs w:val="24"/>
        </w:rPr>
      </w:pPr>
      <w:r>
        <w:rPr>
          <w:b/>
          <w:bCs/>
          <w:sz w:val="24"/>
          <w:szCs w:val="24"/>
        </w:rPr>
        <w:t xml:space="preserve">Ordenador del gasto y motivación del procedimiento. </w:t>
      </w:r>
      <w:r>
        <w:rPr>
          <w:sz w:val="24"/>
          <w:szCs w:val="24"/>
        </w:rPr>
        <w:t>Es necesario verificar la ausencia de conflictos de interés y documentar de manera motivada la justificación del procedimiento de enajenación directa. Esto incluye explicar por qué no procede la cesión gratuita ni otros mecanismos alternativos, y demostrar que dicha enajenación es la opción adecuada para regularizar el predio, proteger el interés público y evitar detrimento patrimonial, respaldando así la decisión y prevenir nulidades o responsabilidades.</w:t>
      </w:r>
    </w:p>
    <w:p w14:paraId="466BE3D5" w14:textId="77777777" w:rsidR="004C2238" w:rsidRDefault="004C2238">
      <w:pPr>
        <w:spacing w:before="240" w:after="240"/>
        <w:ind w:left="720"/>
        <w:jc w:val="both"/>
        <w:rPr>
          <w:sz w:val="24"/>
          <w:szCs w:val="24"/>
        </w:rPr>
      </w:pPr>
    </w:p>
    <w:p w14:paraId="341040CA" w14:textId="77777777" w:rsidR="004C2238" w:rsidRDefault="006A3E1D">
      <w:pPr>
        <w:pStyle w:val="Ttulo2"/>
        <w:rPr>
          <w:rFonts w:ascii="Arial" w:eastAsia="Arial" w:hAnsi="Arial" w:cs="Arial"/>
          <w:b/>
          <w:bCs/>
          <w:color w:val="000000"/>
          <w:sz w:val="24"/>
          <w:szCs w:val="24"/>
        </w:rPr>
      </w:pPr>
      <w:bookmarkStart w:id="48" w:name="_Toc233705382"/>
      <w:r>
        <w:rPr>
          <w:rFonts w:ascii="Arial" w:eastAsia="Arial" w:hAnsi="Arial" w:cs="Arial"/>
          <w:b/>
          <w:bCs/>
          <w:color w:val="000000"/>
          <w:sz w:val="24"/>
          <w:szCs w:val="24"/>
        </w:rPr>
        <w:t>Paso 2. Identificación, estudios técnicos, jurídicos y saneamiento del bien</w:t>
      </w:r>
      <w:bookmarkEnd w:id="48"/>
    </w:p>
    <w:p w14:paraId="6E925A20" w14:textId="77777777" w:rsidR="004C2238" w:rsidRDefault="006A3E1D">
      <w:pPr>
        <w:jc w:val="both"/>
        <w:rPr>
          <w:sz w:val="24"/>
          <w:szCs w:val="24"/>
        </w:rPr>
      </w:pPr>
      <w:r>
        <w:rPr>
          <w:sz w:val="24"/>
          <w:szCs w:val="24"/>
        </w:rPr>
        <w:t>Este paso es clave para consolidar la viabilidad del procedimiento de enajenación directa de bienes fiscales ocupados ilegalmente en un municipio, asegurando que el inmueble esté debidamente caracterizado y libre de impedimentos que puedan generar nulidades o detrimento patrimonial.</w:t>
      </w:r>
    </w:p>
    <w:p w14:paraId="7F98682B" w14:textId="77777777" w:rsidR="004C2238" w:rsidRDefault="004C2238">
      <w:pPr>
        <w:jc w:val="both"/>
        <w:rPr>
          <w:b/>
          <w:bCs/>
          <w:sz w:val="24"/>
          <w:szCs w:val="24"/>
        </w:rPr>
      </w:pPr>
    </w:p>
    <w:p w14:paraId="14E14511" w14:textId="77777777" w:rsidR="004C2238" w:rsidRDefault="006A3E1D">
      <w:pPr>
        <w:numPr>
          <w:ilvl w:val="0"/>
          <w:numId w:val="11"/>
        </w:numPr>
        <w:jc w:val="both"/>
        <w:rPr>
          <w:sz w:val="24"/>
          <w:szCs w:val="24"/>
        </w:rPr>
      </w:pPr>
      <w:r>
        <w:rPr>
          <w:b/>
          <w:bCs/>
          <w:sz w:val="24"/>
          <w:szCs w:val="24"/>
        </w:rPr>
        <w:t xml:space="preserve">Identificación del bien. </w:t>
      </w:r>
      <w:r>
        <w:rPr>
          <w:sz w:val="24"/>
          <w:szCs w:val="24"/>
        </w:rPr>
        <w:t>El municipio deberá recopilar y actualizar toda la información del bien, incluyendo su ubicación exacta (nomenclatura domiciliaria, barrio, ubicación georreferenciada), tipo de predio, área de terreno y área construida, uso del suelo según el instrumento de ordenamiento territorial vigente (POT,PBOT o EOT) folio de matrícula inmobiliaria, cédula catastral y estado de ocupación. También se deben registrar los detalles de la ocupación ilegal, como la fecha aproximada de inicio, las mejoras existentes y los ocupantes identificados</w:t>
      </w:r>
    </w:p>
    <w:p w14:paraId="21235201" w14:textId="77777777" w:rsidR="004C2238" w:rsidRDefault="004C2238">
      <w:pPr>
        <w:ind w:left="720"/>
        <w:jc w:val="both"/>
        <w:rPr>
          <w:sz w:val="24"/>
          <w:szCs w:val="24"/>
        </w:rPr>
      </w:pPr>
    </w:p>
    <w:p w14:paraId="630DA603" w14:textId="77777777" w:rsidR="004C2238" w:rsidRDefault="006A3E1D">
      <w:pPr>
        <w:numPr>
          <w:ilvl w:val="0"/>
          <w:numId w:val="6"/>
        </w:numPr>
        <w:jc w:val="both"/>
        <w:rPr>
          <w:sz w:val="24"/>
          <w:szCs w:val="24"/>
        </w:rPr>
      </w:pPr>
      <w:r>
        <w:rPr>
          <w:b/>
          <w:bCs/>
          <w:sz w:val="24"/>
          <w:szCs w:val="24"/>
        </w:rPr>
        <w:t>Estudios técnicos, jurídicos y saneamiento.</w:t>
      </w:r>
      <w:r>
        <w:rPr>
          <w:sz w:val="24"/>
          <w:szCs w:val="24"/>
        </w:rPr>
        <w:t xml:space="preserve"> Se debe realizar un estudio de títulos integral para confirmar la titularidad municipal, la ausencia de terceros con derechos válidos y que el bien no sea de uso público. Además, se evalúa el estado físico del inmueble, las construcciones o mejoras existentes, los riesgos (como inundación o deslizamiento) y la presencia de gravámenes o limitaciones, procediendo a su saneamiento cuando sea necesario.</w:t>
      </w:r>
    </w:p>
    <w:p w14:paraId="1DA69D07" w14:textId="77777777" w:rsidR="004C2238" w:rsidRDefault="004C2238">
      <w:pPr>
        <w:ind w:left="720"/>
        <w:jc w:val="both"/>
        <w:rPr>
          <w:sz w:val="24"/>
          <w:szCs w:val="24"/>
        </w:rPr>
      </w:pPr>
    </w:p>
    <w:p w14:paraId="1BE2EA84" w14:textId="77777777" w:rsidR="004C2238" w:rsidRDefault="006A3E1D">
      <w:pPr>
        <w:ind w:left="720"/>
        <w:jc w:val="both"/>
        <w:rPr>
          <w:sz w:val="24"/>
          <w:szCs w:val="24"/>
        </w:rPr>
      </w:pPr>
      <w:r>
        <w:rPr>
          <w:sz w:val="24"/>
          <w:szCs w:val="24"/>
        </w:rPr>
        <w:lastRenderedPageBreak/>
        <w:t>Toda la documentación que respalde los estudios jurídicos y técnicos debe archivarse en el expediente correspondiente.</w:t>
      </w:r>
    </w:p>
    <w:p w14:paraId="6B4B7CAD" w14:textId="77777777" w:rsidR="004C2238" w:rsidRDefault="004C2238">
      <w:pPr>
        <w:ind w:left="720"/>
        <w:jc w:val="both"/>
        <w:rPr>
          <w:sz w:val="24"/>
          <w:szCs w:val="24"/>
        </w:rPr>
      </w:pPr>
    </w:p>
    <w:p w14:paraId="49FAF7ED" w14:textId="77777777" w:rsidR="004C2238" w:rsidRDefault="006A3E1D">
      <w:pPr>
        <w:numPr>
          <w:ilvl w:val="0"/>
          <w:numId w:val="9"/>
        </w:numPr>
        <w:pBdr>
          <w:top w:val="nil"/>
          <w:left w:val="nil"/>
          <w:bottom w:val="nil"/>
          <w:right w:val="nil"/>
          <w:between w:val="nil"/>
        </w:pBdr>
        <w:jc w:val="both"/>
        <w:rPr>
          <w:color w:val="000000"/>
          <w:sz w:val="24"/>
          <w:szCs w:val="24"/>
        </w:rPr>
      </w:pPr>
      <w:r>
        <w:rPr>
          <w:b/>
          <w:bCs/>
          <w:color w:val="000000"/>
          <w:sz w:val="24"/>
          <w:szCs w:val="24"/>
        </w:rPr>
        <w:t>Determinación del Precio Base (Avalúo):</w:t>
      </w:r>
      <w:r>
        <w:rPr>
          <w:color w:val="000000"/>
          <w:sz w:val="24"/>
          <w:szCs w:val="24"/>
        </w:rPr>
        <w:t xml:space="preserve">Predios sin destinación habitacional (Comercial, Industrial o Agrícola): El valor base de la enajenación será el avalúo catastral vigente a la fecha de la oferta.  </w:t>
      </w:r>
    </w:p>
    <w:p w14:paraId="3C061B56" w14:textId="77777777" w:rsidR="004C2238" w:rsidRDefault="006A3E1D">
      <w:pPr>
        <w:numPr>
          <w:ilvl w:val="0"/>
          <w:numId w:val="9"/>
        </w:numPr>
        <w:pBdr>
          <w:top w:val="nil"/>
          <w:left w:val="nil"/>
          <w:bottom w:val="nil"/>
          <w:right w:val="nil"/>
          <w:between w:val="nil"/>
        </w:pBdr>
        <w:jc w:val="both"/>
        <w:rPr>
          <w:color w:val="000000"/>
          <w:sz w:val="24"/>
          <w:szCs w:val="24"/>
        </w:rPr>
      </w:pPr>
      <w:r>
        <w:rPr>
          <w:b/>
          <w:bCs/>
          <w:color w:val="000000"/>
          <w:sz w:val="24"/>
          <w:szCs w:val="24"/>
        </w:rPr>
        <w:t>Descuento Especial:</w:t>
      </w:r>
      <w:r>
        <w:rPr>
          <w:color w:val="000000"/>
          <w:sz w:val="24"/>
          <w:szCs w:val="24"/>
        </w:rPr>
        <w:t xml:space="preserve"> Conforme al Art. 9 de la Ley 2044 de 2020, las Organizaciones de Acción Comunal (OAC) e instituciones religiosas reconocidas legalmente tienen derecho a un descuento del 60% sobre el avalúo catastral, pagadero exclusivamente de contado.  </w:t>
      </w:r>
    </w:p>
    <w:p w14:paraId="51537CB8" w14:textId="77777777" w:rsidR="004C2238" w:rsidRDefault="006A3E1D">
      <w:pPr>
        <w:numPr>
          <w:ilvl w:val="0"/>
          <w:numId w:val="9"/>
        </w:numPr>
        <w:pBdr>
          <w:top w:val="nil"/>
          <w:left w:val="nil"/>
          <w:bottom w:val="nil"/>
          <w:right w:val="nil"/>
          <w:between w:val="nil"/>
        </w:pBdr>
        <w:jc w:val="both"/>
        <w:rPr>
          <w:color w:val="000000"/>
          <w:sz w:val="24"/>
          <w:szCs w:val="24"/>
        </w:rPr>
      </w:pPr>
      <w:r>
        <w:rPr>
          <w:b/>
          <w:bCs/>
          <w:color w:val="000000"/>
          <w:sz w:val="24"/>
          <w:szCs w:val="24"/>
        </w:rPr>
        <w:t>Segregaciones:</w:t>
      </w:r>
      <w:r>
        <w:rPr>
          <w:color w:val="000000"/>
          <w:sz w:val="24"/>
          <w:szCs w:val="24"/>
        </w:rPr>
        <w:t xml:space="preserve"> Si el inmueble ocupado forma parte de un globo de terreno de mayor extensión, el municipio deberá tramitar previamente la segregación o subdivisión ante la autoridad catastral (Art. 2.1.2.2.2.15 del Decreto 523 de 2021) y promediar el avalúo correspondiente para el área segregada.  </w:t>
      </w:r>
    </w:p>
    <w:p w14:paraId="5AF2F611" w14:textId="77777777" w:rsidR="00C81CF7" w:rsidRDefault="00C81CF7" w:rsidP="00C81CF7">
      <w:pPr>
        <w:pBdr>
          <w:top w:val="nil"/>
          <w:left w:val="nil"/>
          <w:bottom w:val="nil"/>
          <w:right w:val="nil"/>
          <w:between w:val="nil"/>
        </w:pBdr>
        <w:ind w:left="720"/>
        <w:jc w:val="both"/>
        <w:rPr>
          <w:color w:val="000000"/>
          <w:sz w:val="24"/>
          <w:szCs w:val="24"/>
        </w:rPr>
      </w:pPr>
    </w:p>
    <w:tbl>
      <w:tblPr>
        <w:tblStyle w:val="a"/>
        <w:tblW w:w="88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38"/>
      </w:tblGrid>
      <w:tr w:rsidR="004C2238" w14:paraId="7D213EC6" w14:textId="77777777">
        <w:tc>
          <w:tcPr>
            <w:tcW w:w="8838" w:type="dxa"/>
            <w:tcMar>
              <w:top w:w="100" w:type="dxa"/>
              <w:left w:w="100" w:type="dxa"/>
              <w:bottom w:w="100" w:type="dxa"/>
              <w:right w:w="100" w:type="dxa"/>
            </w:tcMar>
          </w:tcPr>
          <w:p w14:paraId="0AE48DD1" w14:textId="06A707D5" w:rsidR="004C2238" w:rsidRDefault="006A3E1D">
            <w:pPr>
              <w:spacing w:before="240" w:after="240"/>
              <w:jc w:val="both"/>
              <w:rPr>
                <w:sz w:val="24"/>
                <w:szCs w:val="24"/>
              </w:rPr>
            </w:pPr>
            <w:r>
              <w:rPr>
                <w:sz w:val="24"/>
                <w:szCs w:val="24"/>
              </w:rPr>
              <w:t xml:space="preserve">Solo en casos excepcionales, por requerimiento específico o justificación de un valor superior, se puede realizar un avalúo comercial adicional por la entidad autorizada (IGAC, catastro descentralizado o perito inscrito en el Registro Abierto de </w:t>
            </w:r>
            <w:proofErr w:type="spellStart"/>
            <w:r>
              <w:rPr>
                <w:sz w:val="24"/>
                <w:szCs w:val="24"/>
              </w:rPr>
              <w:t>Avaluadores</w:t>
            </w:r>
            <w:proofErr w:type="spellEnd"/>
            <w:r>
              <w:rPr>
                <w:sz w:val="24"/>
                <w:szCs w:val="24"/>
              </w:rPr>
              <w:t xml:space="preserve"> - RAA).</w:t>
            </w:r>
          </w:p>
        </w:tc>
      </w:tr>
    </w:tbl>
    <w:p w14:paraId="7F722671" w14:textId="77777777" w:rsidR="004C2238" w:rsidRDefault="006A3E1D">
      <w:pPr>
        <w:pStyle w:val="Ttulo2"/>
        <w:rPr>
          <w:rFonts w:ascii="Arial" w:eastAsia="Arial" w:hAnsi="Arial" w:cs="Arial"/>
          <w:color w:val="000000"/>
          <w:sz w:val="24"/>
          <w:szCs w:val="24"/>
        </w:rPr>
      </w:pPr>
      <w:bookmarkStart w:id="49" w:name="_Toc233705383"/>
      <w:r>
        <w:rPr>
          <w:rFonts w:ascii="Arial" w:eastAsia="Arial" w:hAnsi="Arial" w:cs="Arial"/>
          <w:b/>
          <w:bCs/>
          <w:color w:val="000000"/>
          <w:sz w:val="24"/>
          <w:szCs w:val="24"/>
        </w:rPr>
        <w:t>Paso 3.  Informe técnico jurídico de soporte para la enajenación directa</w:t>
      </w:r>
      <w:bookmarkEnd w:id="49"/>
    </w:p>
    <w:p w14:paraId="5939A846" w14:textId="77777777" w:rsidR="004C2238" w:rsidRDefault="006A3E1D">
      <w:pPr>
        <w:spacing w:before="240" w:after="240"/>
        <w:jc w:val="both"/>
        <w:rPr>
          <w:sz w:val="24"/>
          <w:szCs w:val="24"/>
        </w:rPr>
      </w:pPr>
      <w:r>
        <w:rPr>
          <w:sz w:val="24"/>
          <w:szCs w:val="24"/>
        </w:rPr>
        <w:t xml:space="preserve">Se elabora el documento definitivo de conveniencia y oportunidad administrativa. Este informe consolida los análisis urbanísticos, fiscales y sociales del predio, descarta formalmente otras rutas de saneamiento e incluye la certificación de la vigencia del avalúo catastral utilizado (el cual debe tener una vigencia de entre 6 y 12 meses).  </w:t>
      </w:r>
    </w:p>
    <w:p w14:paraId="13F95C93" w14:textId="77777777" w:rsidR="004C2238" w:rsidRDefault="004C2238">
      <w:pPr>
        <w:rPr>
          <w:b/>
          <w:bCs/>
          <w:sz w:val="24"/>
          <w:szCs w:val="24"/>
        </w:rPr>
      </w:pPr>
    </w:p>
    <w:p w14:paraId="60613064" w14:textId="77777777" w:rsidR="004C2238" w:rsidRDefault="006A3E1D">
      <w:pPr>
        <w:pStyle w:val="Ttulo2"/>
        <w:rPr>
          <w:rFonts w:ascii="Arial" w:eastAsia="Arial" w:hAnsi="Arial" w:cs="Arial"/>
          <w:sz w:val="24"/>
          <w:szCs w:val="24"/>
        </w:rPr>
      </w:pPr>
      <w:bookmarkStart w:id="50" w:name="_Toc233705384"/>
      <w:r>
        <w:rPr>
          <w:rFonts w:ascii="Arial" w:eastAsia="Arial" w:hAnsi="Arial" w:cs="Arial"/>
          <w:b/>
          <w:bCs/>
          <w:color w:val="000000"/>
          <w:sz w:val="24"/>
          <w:szCs w:val="24"/>
        </w:rPr>
        <w:t>Paso 4. Identificación del(los) ocupante(s) y oferta</w:t>
      </w:r>
      <w:bookmarkEnd w:id="50"/>
    </w:p>
    <w:p w14:paraId="0B8A66FD" w14:textId="77777777" w:rsidR="004C2238" w:rsidRDefault="004C2238">
      <w:pPr>
        <w:rPr>
          <w:b/>
          <w:bCs/>
          <w:sz w:val="24"/>
          <w:szCs w:val="24"/>
        </w:rPr>
      </w:pPr>
    </w:p>
    <w:p w14:paraId="579DB8A6" w14:textId="77777777" w:rsidR="004C2238" w:rsidRDefault="006A3E1D">
      <w:pPr>
        <w:numPr>
          <w:ilvl w:val="0"/>
          <w:numId w:val="5"/>
        </w:numPr>
        <w:jc w:val="both"/>
        <w:rPr>
          <w:sz w:val="24"/>
          <w:szCs w:val="24"/>
        </w:rPr>
      </w:pPr>
      <w:r>
        <w:rPr>
          <w:b/>
          <w:bCs/>
          <w:sz w:val="24"/>
          <w:szCs w:val="24"/>
        </w:rPr>
        <w:t>Identificación del ocupante.</w:t>
      </w:r>
      <w:r>
        <w:rPr>
          <w:sz w:val="24"/>
          <w:szCs w:val="24"/>
        </w:rPr>
        <w:t xml:space="preserve"> Se identifica a (los) ocupante(s) mediante inspección, actas notariales, certificados y otras pruebas, verificando que la ocupación sea ilegal e ininterrumpida y que no aplique la cesión gratuita por </w:t>
      </w:r>
      <w:r>
        <w:rPr>
          <w:sz w:val="24"/>
          <w:szCs w:val="24"/>
        </w:rPr>
        <w:lastRenderedPageBreak/>
        <w:t>incumplimiento de requisitos. Luego, se notifica el inicio del trámite y se realiza una única oferta escrita con el precio y condiciones de pago.</w:t>
      </w:r>
    </w:p>
    <w:p w14:paraId="58C18FBF" w14:textId="77777777" w:rsidR="004C2238" w:rsidRDefault="006A3E1D">
      <w:pPr>
        <w:spacing w:before="240" w:after="240"/>
        <w:ind w:left="720"/>
        <w:jc w:val="both"/>
        <w:rPr>
          <w:sz w:val="24"/>
          <w:szCs w:val="24"/>
        </w:rPr>
      </w:pPr>
      <w:r>
        <w:rPr>
          <w:sz w:val="24"/>
          <w:szCs w:val="24"/>
        </w:rPr>
        <w:t>El ocupante tiene un mes para aceptar la oferta y, de hacerlo, dispone de seis meses para consignar el valor en la tesorería municipal y acreditar el cumplimiento de sus obligaciones fiscales pendientes.</w:t>
      </w:r>
    </w:p>
    <w:p w14:paraId="14B46B41" w14:textId="77777777" w:rsidR="004C2238" w:rsidRDefault="004C2238">
      <w:pPr>
        <w:jc w:val="both"/>
        <w:rPr>
          <w:sz w:val="24"/>
          <w:szCs w:val="24"/>
        </w:rPr>
      </w:pPr>
    </w:p>
    <w:p w14:paraId="6883606C" w14:textId="77777777" w:rsidR="004C2238" w:rsidRDefault="006A3E1D">
      <w:pPr>
        <w:numPr>
          <w:ilvl w:val="0"/>
          <w:numId w:val="7"/>
        </w:numPr>
        <w:jc w:val="both"/>
        <w:rPr>
          <w:sz w:val="24"/>
          <w:szCs w:val="24"/>
        </w:rPr>
      </w:pPr>
      <w:r>
        <w:rPr>
          <w:b/>
          <w:bCs/>
          <w:sz w:val="24"/>
          <w:szCs w:val="24"/>
        </w:rPr>
        <w:t>Terminación del procedimiento.</w:t>
      </w:r>
      <w:r>
        <w:rPr>
          <w:sz w:val="24"/>
          <w:szCs w:val="24"/>
        </w:rPr>
        <w:t xml:space="preserve"> Si el ocupante no acepta o no paga, se solicita restitución del bien y posible traslado a CISA si aplica, para que continúe con la gestión.</w:t>
      </w:r>
    </w:p>
    <w:p w14:paraId="1316F7D6" w14:textId="77777777" w:rsidR="004C2238" w:rsidRDefault="004C2238">
      <w:pPr>
        <w:pBdr>
          <w:top w:val="nil"/>
          <w:left w:val="nil"/>
          <w:bottom w:val="nil"/>
          <w:right w:val="nil"/>
          <w:between w:val="nil"/>
        </w:pBdr>
        <w:rPr>
          <w:sz w:val="24"/>
          <w:szCs w:val="24"/>
        </w:rPr>
      </w:pPr>
    </w:p>
    <w:p w14:paraId="732E9618" w14:textId="77777777" w:rsidR="004C2238" w:rsidRDefault="006A3E1D">
      <w:pPr>
        <w:pStyle w:val="Ttulo2"/>
        <w:rPr>
          <w:rFonts w:ascii="Arial" w:eastAsia="Arial" w:hAnsi="Arial" w:cs="Arial"/>
          <w:b/>
          <w:bCs/>
          <w:sz w:val="24"/>
          <w:szCs w:val="24"/>
        </w:rPr>
      </w:pPr>
      <w:bookmarkStart w:id="51" w:name="_Toc233705385"/>
      <w:r>
        <w:rPr>
          <w:rFonts w:ascii="Arial" w:eastAsia="Arial" w:hAnsi="Arial" w:cs="Arial"/>
          <w:b/>
          <w:bCs/>
          <w:color w:val="000000"/>
          <w:sz w:val="24"/>
          <w:szCs w:val="24"/>
        </w:rPr>
        <w:t>Paso 5. Expedir resolución de enajenación</w:t>
      </w:r>
      <w:bookmarkEnd w:id="51"/>
    </w:p>
    <w:p w14:paraId="5D411040" w14:textId="77777777" w:rsidR="004C2238" w:rsidRDefault="006A3E1D">
      <w:pPr>
        <w:spacing w:before="240" w:after="240"/>
        <w:jc w:val="both"/>
        <w:rPr>
          <w:sz w:val="24"/>
          <w:szCs w:val="24"/>
        </w:rPr>
      </w:pPr>
      <w:r>
        <w:rPr>
          <w:sz w:val="24"/>
          <w:szCs w:val="24"/>
        </w:rPr>
        <w:t xml:space="preserve">Una vez que la oferta ha sido aceptada por el ocupante y se ha verificado el pago, el municipio expide la resolución administrativa que formaliza la enajenación directa. Contra esta resolución procede el recurso de reposición dentro de los 10 días hábiles posteriores a la notificación; una vez resuelto los recursos o sin que se hayan interpuesto el acto administrativo estará en firme. </w:t>
      </w:r>
    </w:p>
    <w:p w14:paraId="241958EB" w14:textId="77777777" w:rsidR="004C2238" w:rsidRDefault="006A3E1D">
      <w:pPr>
        <w:spacing w:before="240" w:after="240"/>
        <w:jc w:val="both"/>
        <w:rPr>
          <w:sz w:val="24"/>
          <w:szCs w:val="24"/>
        </w:rPr>
      </w:pPr>
      <w:r>
        <w:rPr>
          <w:sz w:val="24"/>
          <w:szCs w:val="24"/>
        </w:rPr>
        <w:t>Si el bien cuenta con mejoras o construcciones sin vocación residencial, como usos comerciales, industriales o agrícolas, la transferencia se realiza directamente al ocupante o tercero interesado por su valor catastral vigente, sin constituir patrimonio de familia.</w:t>
      </w:r>
    </w:p>
    <w:p w14:paraId="7B74F7E6" w14:textId="77777777" w:rsidR="004C2238" w:rsidRDefault="004C2238">
      <w:pPr>
        <w:rPr>
          <w:sz w:val="24"/>
          <w:szCs w:val="24"/>
        </w:rPr>
      </w:pPr>
    </w:p>
    <w:tbl>
      <w:tblPr>
        <w:tblStyle w:val="a0"/>
        <w:tblW w:w="88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38"/>
      </w:tblGrid>
      <w:tr w:rsidR="004C2238" w14:paraId="54511AAF" w14:textId="77777777">
        <w:tc>
          <w:tcPr>
            <w:tcW w:w="8838" w:type="dxa"/>
            <w:tcMar>
              <w:top w:w="100" w:type="dxa"/>
              <w:left w:w="100" w:type="dxa"/>
              <w:bottom w:w="100" w:type="dxa"/>
              <w:right w:w="100" w:type="dxa"/>
            </w:tcMar>
          </w:tcPr>
          <w:p w14:paraId="51572C2A" w14:textId="794E6649" w:rsidR="004C2238" w:rsidRDefault="006A3E1D">
            <w:pPr>
              <w:jc w:val="both"/>
              <w:rPr>
                <w:color w:val="333333"/>
                <w:sz w:val="24"/>
                <w:szCs w:val="24"/>
              </w:rPr>
            </w:pPr>
            <w:r>
              <w:rPr>
                <w:color w:val="333333"/>
                <w:sz w:val="24"/>
                <w:szCs w:val="24"/>
              </w:rPr>
              <w:t xml:space="preserve">Para los procesos de enajenación de bienes fiscales, no aplicarán las restricciones de transferencia de derecho real o aquellas que exigen la residencia transcurridos diez (10) años desde la fecha de la transferencia, establecidas en el </w:t>
            </w:r>
            <w:proofErr w:type="gramStart"/>
            <w:r>
              <w:rPr>
                <w:color w:val="333333"/>
                <w:sz w:val="24"/>
                <w:szCs w:val="24"/>
              </w:rPr>
              <w:t>artículo  31</w:t>
            </w:r>
            <w:proofErr w:type="gramEnd"/>
            <w:r>
              <w:rPr>
                <w:color w:val="333333"/>
                <w:sz w:val="24"/>
                <w:szCs w:val="24"/>
              </w:rPr>
              <w:t xml:space="preserve"> de la Ley 1537 de 2012.</w:t>
            </w:r>
          </w:p>
          <w:p w14:paraId="1846199B" w14:textId="77777777" w:rsidR="004C2238" w:rsidRDefault="004C2238">
            <w:pPr>
              <w:widowControl w:val="0"/>
              <w:pBdr>
                <w:top w:val="nil"/>
                <w:left w:val="nil"/>
                <w:bottom w:val="nil"/>
                <w:right w:val="nil"/>
                <w:between w:val="nil"/>
              </w:pBdr>
              <w:rPr>
                <w:sz w:val="24"/>
                <w:szCs w:val="24"/>
              </w:rPr>
            </w:pPr>
          </w:p>
        </w:tc>
      </w:tr>
    </w:tbl>
    <w:p w14:paraId="4679A170" w14:textId="77777777" w:rsidR="004C2238" w:rsidRDefault="004C2238">
      <w:pPr>
        <w:rPr>
          <w:sz w:val="24"/>
          <w:szCs w:val="24"/>
        </w:rPr>
      </w:pPr>
    </w:p>
    <w:p w14:paraId="433314D0" w14:textId="77777777" w:rsidR="004C2238" w:rsidRDefault="004C2238">
      <w:pPr>
        <w:pBdr>
          <w:top w:val="nil"/>
          <w:left w:val="nil"/>
          <w:bottom w:val="nil"/>
          <w:right w:val="nil"/>
          <w:between w:val="nil"/>
        </w:pBdr>
        <w:rPr>
          <w:sz w:val="24"/>
          <w:szCs w:val="24"/>
        </w:rPr>
      </w:pPr>
    </w:p>
    <w:p w14:paraId="19B24236" w14:textId="77777777" w:rsidR="004C2238" w:rsidRDefault="006A3E1D">
      <w:pPr>
        <w:pStyle w:val="Ttulo2"/>
        <w:rPr>
          <w:rFonts w:ascii="Arial" w:eastAsia="Arial" w:hAnsi="Arial" w:cs="Arial"/>
          <w:b/>
          <w:bCs/>
          <w:color w:val="000000"/>
          <w:sz w:val="24"/>
          <w:szCs w:val="24"/>
        </w:rPr>
      </w:pPr>
      <w:r>
        <w:rPr>
          <w:rFonts w:ascii="Arial" w:eastAsia="Arial" w:hAnsi="Arial" w:cs="Arial"/>
          <w:b/>
          <w:bCs/>
          <w:color w:val="000000"/>
          <w:sz w:val="24"/>
          <w:szCs w:val="24"/>
        </w:rPr>
        <w:lastRenderedPageBreak/>
        <w:t xml:space="preserve"> </w:t>
      </w:r>
      <w:bookmarkStart w:id="52" w:name="_Toc233705386"/>
      <w:r>
        <w:rPr>
          <w:rFonts w:ascii="Arial" w:eastAsia="Arial" w:hAnsi="Arial" w:cs="Arial"/>
          <w:b/>
          <w:bCs/>
          <w:color w:val="000000"/>
          <w:sz w:val="24"/>
          <w:szCs w:val="24"/>
        </w:rPr>
        <w:t>Paso 6. Remisión a registro y al gestor catastral</w:t>
      </w:r>
      <w:bookmarkEnd w:id="52"/>
    </w:p>
    <w:p w14:paraId="66A2D281" w14:textId="77777777" w:rsidR="004C2238" w:rsidRDefault="006A3E1D">
      <w:pPr>
        <w:spacing w:before="240" w:after="240"/>
        <w:jc w:val="both"/>
        <w:rPr>
          <w:sz w:val="24"/>
          <w:szCs w:val="24"/>
        </w:rPr>
      </w:pPr>
      <w:r>
        <w:rPr>
          <w:sz w:val="24"/>
          <w:szCs w:val="24"/>
        </w:rPr>
        <w:t>Una vez en firme la resolución administrativa que formaliza la enajenación directa, dicha resolución se inscribe en la Oficina de Registro de Instrumentos Públicos y configura plena prueba de propiedad. Con esta inscripción se formaliza la transferencia del derecho de dominio a favor del particular.</w:t>
      </w:r>
    </w:p>
    <w:p w14:paraId="0F72843F" w14:textId="77777777" w:rsidR="004C2238" w:rsidRDefault="006A3E1D">
      <w:pPr>
        <w:spacing w:before="240" w:after="240"/>
        <w:jc w:val="both"/>
        <w:rPr>
          <w:sz w:val="24"/>
          <w:szCs w:val="24"/>
        </w:rPr>
      </w:pPr>
      <w:r>
        <w:rPr>
          <w:sz w:val="24"/>
          <w:szCs w:val="24"/>
        </w:rPr>
        <w:t>De igual manera, se deberá remitir la información correspondiente al gestor catastral competente con el fin de que se realice la actualización de la información catastral del predio, incorporando la nueva titularidad y su destinación. Este procedimiento permite mantener la coherencia entre la información registral, catastral y administrativa del inmueble.</w:t>
      </w:r>
    </w:p>
    <w:p w14:paraId="37480F26" w14:textId="77777777" w:rsidR="004C2238" w:rsidRDefault="004C2238">
      <w:pPr>
        <w:spacing w:after="160"/>
        <w:rPr>
          <w:b/>
          <w:bCs/>
          <w:sz w:val="24"/>
          <w:szCs w:val="24"/>
        </w:rPr>
      </w:pPr>
    </w:p>
    <w:p w14:paraId="6279E95D" w14:textId="77777777" w:rsidR="004C2238" w:rsidRDefault="006A3E1D">
      <w:pPr>
        <w:pStyle w:val="Ttulo2"/>
        <w:rPr>
          <w:rFonts w:ascii="Arial" w:eastAsia="Arial" w:hAnsi="Arial" w:cs="Arial"/>
          <w:b/>
          <w:bCs/>
          <w:color w:val="000000"/>
          <w:sz w:val="24"/>
          <w:szCs w:val="24"/>
        </w:rPr>
      </w:pPr>
      <w:bookmarkStart w:id="53" w:name="_Toc233705387"/>
      <w:r>
        <w:rPr>
          <w:rFonts w:ascii="Arial" w:eastAsia="Arial" w:hAnsi="Arial" w:cs="Arial"/>
          <w:b/>
          <w:bCs/>
          <w:color w:val="000000"/>
          <w:sz w:val="24"/>
          <w:szCs w:val="24"/>
        </w:rPr>
        <w:t>Paso 7. Actualización del inventario municipal.</w:t>
      </w:r>
      <w:bookmarkEnd w:id="53"/>
    </w:p>
    <w:p w14:paraId="79FA7657" w14:textId="77777777" w:rsidR="004C2238" w:rsidRDefault="006A3E1D">
      <w:pPr>
        <w:shd w:val="clear" w:color="auto" w:fill="FFFFFF"/>
        <w:spacing w:before="240" w:after="240"/>
        <w:jc w:val="both"/>
        <w:rPr>
          <w:sz w:val="24"/>
          <w:szCs w:val="24"/>
        </w:rPr>
      </w:pPr>
      <w:r>
        <w:rPr>
          <w:sz w:val="24"/>
          <w:szCs w:val="24"/>
        </w:rPr>
        <w:t xml:space="preserve">La actualización del Inventario Municipal una vez se registra el acto administrativo constituye un paso esencial para garantizar la trazabilidad jurídica, administrativa y técnica del proceso de formalización. Este ajuste permite incorporar la nueva condición del inmueble en la base de datos del Inventario Municipal de Inmuebles, asegurando que la información refleje fielmente su situación actual. </w:t>
      </w:r>
    </w:p>
    <w:p w14:paraId="189AD47B" w14:textId="77777777" w:rsidR="004C2238" w:rsidRDefault="006A3E1D">
      <w:pPr>
        <w:shd w:val="clear" w:color="auto" w:fill="FFFFFF"/>
        <w:spacing w:before="240" w:after="240"/>
        <w:jc w:val="both"/>
        <w:rPr>
          <w:sz w:val="24"/>
          <w:szCs w:val="24"/>
        </w:rPr>
      </w:pPr>
      <w:r>
        <w:rPr>
          <w:sz w:val="24"/>
          <w:szCs w:val="24"/>
        </w:rPr>
        <w:t>Se recomienda que se actualice como mínimo los siguientes atributos:</w:t>
      </w:r>
    </w:p>
    <w:tbl>
      <w:tblPr>
        <w:tblStyle w:val="a1"/>
        <w:tblW w:w="9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05"/>
        <w:gridCol w:w="6360"/>
      </w:tblGrid>
      <w:tr w:rsidR="004C2238" w14:paraId="35481039" w14:textId="77777777">
        <w:tc>
          <w:tcPr>
            <w:tcW w:w="2805" w:type="dxa"/>
            <w:shd w:val="clear" w:color="auto" w:fill="B8CCE4"/>
            <w:tcMar>
              <w:top w:w="100" w:type="dxa"/>
              <w:left w:w="100" w:type="dxa"/>
              <w:bottom w:w="100" w:type="dxa"/>
              <w:right w:w="100" w:type="dxa"/>
            </w:tcMar>
          </w:tcPr>
          <w:p w14:paraId="06D62351" w14:textId="77777777" w:rsidR="004C2238" w:rsidRDefault="006A3E1D">
            <w:pPr>
              <w:widowControl w:val="0"/>
              <w:jc w:val="center"/>
              <w:rPr>
                <w:b/>
                <w:bCs/>
                <w:sz w:val="24"/>
                <w:szCs w:val="24"/>
              </w:rPr>
            </w:pPr>
            <w:r>
              <w:rPr>
                <w:b/>
                <w:bCs/>
                <w:sz w:val="24"/>
                <w:szCs w:val="24"/>
              </w:rPr>
              <w:t>ATRIBUTO</w:t>
            </w:r>
          </w:p>
        </w:tc>
        <w:tc>
          <w:tcPr>
            <w:tcW w:w="6360" w:type="dxa"/>
            <w:shd w:val="clear" w:color="auto" w:fill="B8CCE4"/>
            <w:tcMar>
              <w:top w:w="100" w:type="dxa"/>
              <w:left w:w="100" w:type="dxa"/>
              <w:bottom w:w="100" w:type="dxa"/>
              <w:right w:w="100" w:type="dxa"/>
            </w:tcMar>
          </w:tcPr>
          <w:p w14:paraId="6015897B" w14:textId="77777777" w:rsidR="004C2238" w:rsidRDefault="006A3E1D">
            <w:pPr>
              <w:widowControl w:val="0"/>
              <w:jc w:val="center"/>
              <w:rPr>
                <w:b/>
                <w:bCs/>
                <w:sz w:val="24"/>
                <w:szCs w:val="24"/>
              </w:rPr>
            </w:pPr>
            <w:r>
              <w:rPr>
                <w:b/>
                <w:bCs/>
                <w:sz w:val="24"/>
                <w:szCs w:val="24"/>
              </w:rPr>
              <w:t>VALOR</w:t>
            </w:r>
          </w:p>
        </w:tc>
      </w:tr>
      <w:tr w:rsidR="004C2238" w14:paraId="0F537685" w14:textId="77777777">
        <w:trPr>
          <w:trHeight w:val="477"/>
        </w:trPr>
        <w:tc>
          <w:tcPr>
            <w:tcW w:w="2805" w:type="dxa"/>
            <w:tcMar>
              <w:top w:w="100" w:type="dxa"/>
              <w:left w:w="100" w:type="dxa"/>
              <w:bottom w:w="100" w:type="dxa"/>
              <w:right w:w="100" w:type="dxa"/>
            </w:tcMar>
            <w:vAlign w:val="center"/>
          </w:tcPr>
          <w:p w14:paraId="28A31AB3" w14:textId="77777777" w:rsidR="004C2238" w:rsidRDefault="006A3E1D">
            <w:pPr>
              <w:widowControl w:val="0"/>
              <w:jc w:val="center"/>
              <w:rPr>
                <w:sz w:val="24"/>
                <w:szCs w:val="24"/>
              </w:rPr>
            </w:pPr>
            <w:proofErr w:type="spellStart"/>
            <w:r>
              <w:rPr>
                <w:sz w:val="24"/>
                <w:szCs w:val="24"/>
              </w:rPr>
              <w:t>Ruta_Saneamiento</w:t>
            </w:r>
            <w:proofErr w:type="spellEnd"/>
            <w:r>
              <w:rPr>
                <w:sz w:val="24"/>
                <w:szCs w:val="24"/>
              </w:rPr>
              <w:t xml:space="preserve"> </w:t>
            </w:r>
          </w:p>
        </w:tc>
        <w:tc>
          <w:tcPr>
            <w:tcW w:w="6360" w:type="dxa"/>
            <w:tcMar>
              <w:top w:w="100" w:type="dxa"/>
              <w:left w:w="100" w:type="dxa"/>
              <w:bottom w:w="100" w:type="dxa"/>
              <w:right w:w="100" w:type="dxa"/>
            </w:tcMar>
          </w:tcPr>
          <w:p w14:paraId="1443FD27" w14:textId="77777777" w:rsidR="004C2238" w:rsidRDefault="006A3E1D">
            <w:pPr>
              <w:widowControl w:val="0"/>
              <w:jc w:val="center"/>
              <w:rPr>
                <w:sz w:val="24"/>
                <w:szCs w:val="24"/>
              </w:rPr>
            </w:pPr>
            <w:proofErr w:type="spellStart"/>
            <w:r>
              <w:rPr>
                <w:sz w:val="24"/>
                <w:szCs w:val="24"/>
              </w:rPr>
              <w:t>Enajenacion_directa_bienes_inmuebles_fiscales</w:t>
            </w:r>
            <w:proofErr w:type="spellEnd"/>
          </w:p>
        </w:tc>
      </w:tr>
      <w:tr w:rsidR="004C2238" w14:paraId="08623FE5" w14:textId="77777777">
        <w:trPr>
          <w:trHeight w:val="357"/>
        </w:trPr>
        <w:tc>
          <w:tcPr>
            <w:tcW w:w="2805" w:type="dxa"/>
            <w:tcMar>
              <w:top w:w="100" w:type="dxa"/>
              <w:left w:w="100" w:type="dxa"/>
              <w:bottom w:w="100" w:type="dxa"/>
              <w:right w:w="100" w:type="dxa"/>
            </w:tcMar>
            <w:vAlign w:val="center"/>
          </w:tcPr>
          <w:p w14:paraId="0FF68C62" w14:textId="77777777" w:rsidR="004C2238" w:rsidRDefault="006A3E1D">
            <w:pPr>
              <w:widowControl w:val="0"/>
              <w:jc w:val="center"/>
              <w:rPr>
                <w:sz w:val="24"/>
                <w:szCs w:val="24"/>
              </w:rPr>
            </w:pPr>
            <w:r>
              <w:rPr>
                <w:sz w:val="24"/>
                <w:szCs w:val="24"/>
              </w:rPr>
              <w:t xml:space="preserve"> </w:t>
            </w:r>
            <w:proofErr w:type="spellStart"/>
            <w:r>
              <w:rPr>
                <w:sz w:val="24"/>
                <w:szCs w:val="24"/>
              </w:rPr>
              <w:t>Estado_Proceso</w:t>
            </w:r>
            <w:proofErr w:type="spellEnd"/>
          </w:p>
        </w:tc>
        <w:tc>
          <w:tcPr>
            <w:tcW w:w="6360" w:type="dxa"/>
            <w:tcMar>
              <w:top w:w="100" w:type="dxa"/>
              <w:left w:w="100" w:type="dxa"/>
              <w:bottom w:w="100" w:type="dxa"/>
              <w:right w:w="100" w:type="dxa"/>
            </w:tcMar>
          </w:tcPr>
          <w:p w14:paraId="00744AB2" w14:textId="77777777" w:rsidR="004C2238" w:rsidRDefault="006A3E1D">
            <w:pPr>
              <w:widowControl w:val="0"/>
              <w:jc w:val="center"/>
              <w:rPr>
                <w:sz w:val="24"/>
                <w:szCs w:val="24"/>
              </w:rPr>
            </w:pPr>
            <w:proofErr w:type="spellStart"/>
            <w:r>
              <w:rPr>
                <w:sz w:val="24"/>
                <w:szCs w:val="24"/>
              </w:rPr>
              <w:t>Acto_administrativo_remitido</w:t>
            </w:r>
            <w:proofErr w:type="spellEnd"/>
            <w:r>
              <w:rPr>
                <w:sz w:val="24"/>
                <w:szCs w:val="24"/>
              </w:rPr>
              <w:t xml:space="preserve"> </w:t>
            </w:r>
            <w:proofErr w:type="spellStart"/>
            <w:r>
              <w:rPr>
                <w:sz w:val="24"/>
                <w:szCs w:val="24"/>
              </w:rPr>
              <w:t>al_Gestor_Catastral</w:t>
            </w:r>
            <w:proofErr w:type="spellEnd"/>
            <w:r>
              <w:rPr>
                <w:sz w:val="24"/>
                <w:szCs w:val="24"/>
              </w:rPr>
              <w:t>.</w:t>
            </w:r>
          </w:p>
        </w:tc>
      </w:tr>
      <w:tr w:rsidR="004C2238" w14:paraId="16387C69" w14:textId="77777777">
        <w:trPr>
          <w:trHeight w:val="339"/>
        </w:trPr>
        <w:tc>
          <w:tcPr>
            <w:tcW w:w="2805" w:type="dxa"/>
            <w:tcMar>
              <w:top w:w="100" w:type="dxa"/>
              <w:left w:w="100" w:type="dxa"/>
              <w:bottom w:w="100" w:type="dxa"/>
              <w:right w:w="100" w:type="dxa"/>
            </w:tcMar>
            <w:vAlign w:val="center"/>
          </w:tcPr>
          <w:p w14:paraId="3C39F4A2" w14:textId="77777777" w:rsidR="004C2238" w:rsidRDefault="006A3E1D">
            <w:pPr>
              <w:widowControl w:val="0"/>
              <w:jc w:val="center"/>
              <w:rPr>
                <w:sz w:val="24"/>
                <w:szCs w:val="24"/>
              </w:rPr>
            </w:pPr>
            <w:r>
              <w:rPr>
                <w:sz w:val="24"/>
                <w:szCs w:val="24"/>
              </w:rPr>
              <w:t>Título</w:t>
            </w:r>
          </w:p>
        </w:tc>
        <w:tc>
          <w:tcPr>
            <w:tcW w:w="6360" w:type="dxa"/>
            <w:tcMar>
              <w:top w:w="100" w:type="dxa"/>
              <w:left w:w="100" w:type="dxa"/>
              <w:bottom w:w="100" w:type="dxa"/>
              <w:right w:w="100" w:type="dxa"/>
            </w:tcMar>
          </w:tcPr>
          <w:p w14:paraId="166AB1ED" w14:textId="77777777" w:rsidR="004C2238" w:rsidRDefault="006A3E1D">
            <w:pPr>
              <w:widowControl w:val="0"/>
              <w:jc w:val="center"/>
              <w:rPr>
                <w:sz w:val="24"/>
                <w:szCs w:val="24"/>
              </w:rPr>
            </w:pPr>
            <w:r>
              <w:rPr>
                <w:sz w:val="24"/>
                <w:szCs w:val="24"/>
              </w:rPr>
              <w:t>Número de la resolución de enajenación</w:t>
            </w:r>
          </w:p>
        </w:tc>
      </w:tr>
      <w:tr w:rsidR="004C2238" w14:paraId="2E85845F" w14:textId="77777777">
        <w:tc>
          <w:tcPr>
            <w:tcW w:w="2805" w:type="dxa"/>
            <w:tcMar>
              <w:top w:w="100" w:type="dxa"/>
              <w:left w:w="100" w:type="dxa"/>
              <w:bottom w:w="100" w:type="dxa"/>
              <w:right w:w="100" w:type="dxa"/>
            </w:tcMar>
            <w:vAlign w:val="center"/>
          </w:tcPr>
          <w:p w14:paraId="10097B2D" w14:textId="77777777" w:rsidR="004C2238" w:rsidRDefault="006A3E1D">
            <w:pPr>
              <w:widowControl w:val="0"/>
              <w:jc w:val="center"/>
              <w:rPr>
                <w:sz w:val="24"/>
                <w:szCs w:val="24"/>
              </w:rPr>
            </w:pPr>
            <w:proofErr w:type="spellStart"/>
            <w:r>
              <w:rPr>
                <w:sz w:val="24"/>
                <w:szCs w:val="24"/>
              </w:rPr>
              <w:t>Fecha_Titulo</w:t>
            </w:r>
            <w:proofErr w:type="spellEnd"/>
          </w:p>
        </w:tc>
        <w:tc>
          <w:tcPr>
            <w:tcW w:w="6360" w:type="dxa"/>
            <w:tcMar>
              <w:top w:w="100" w:type="dxa"/>
              <w:left w:w="100" w:type="dxa"/>
              <w:bottom w:w="100" w:type="dxa"/>
              <w:right w:w="100" w:type="dxa"/>
            </w:tcMar>
          </w:tcPr>
          <w:p w14:paraId="56C71535" w14:textId="77777777" w:rsidR="004C2238" w:rsidRDefault="006A3E1D">
            <w:pPr>
              <w:widowControl w:val="0"/>
              <w:jc w:val="center"/>
              <w:rPr>
                <w:sz w:val="24"/>
                <w:szCs w:val="24"/>
              </w:rPr>
            </w:pPr>
            <w:r>
              <w:rPr>
                <w:sz w:val="24"/>
                <w:szCs w:val="24"/>
              </w:rPr>
              <w:t>Fecha de expedición del acto administrativo</w:t>
            </w:r>
          </w:p>
        </w:tc>
      </w:tr>
    </w:tbl>
    <w:p w14:paraId="5333FC7D" w14:textId="77777777" w:rsidR="004C2238" w:rsidRDefault="004C2238">
      <w:pPr>
        <w:shd w:val="clear" w:color="auto" w:fill="FFFFFF"/>
        <w:spacing w:before="240" w:after="240"/>
        <w:jc w:val="both"/>
        <w:rPr>
          <w:sz w:val="24"/>
          <w:szCs w:val="24"/>
        </w:rPr>
      </w:pPr>
    </w:p>
    <w:p w14:paraId="0C6A284C" w14:textId="77777777" w:rsidR="004C2238" w:rsidRDefault="004C2238">
      <w:pPr>
        <w:shd w:val="clear" w:color="auto" w:fill="FFFFFF"/>
        <w:spacing w:before="240" w:after="240"/>
        <w:jc w:val="both"/>
        <w:rPr>
          <w:sz w:val="24"/>
          <w:szCs w:val="24"/>
        </w:rPr>
      </w:pPr>
    </w:p>
    <w:p w14:paraId="45FA1D5D" w14:textId="5B947E3E" w:rsidR="004C2238" w:rsidRDefault="00DC5CC3" w:rsidP="00DC5CC3">
      <w:pPr>
        <w:pBdr>
          <w:top w:val="nil"/>
          <w:left w:val="nil"/>
          <w:bottom w:val="nil"/>
          <w:right w:val="nil"/>
          <w:between w:val="nil"/>
        </w:pBdr>
        <w:jc w:val="center"/>
        <w:rPr>
          <w:b/>
          <w:bCs/>
          <w:sz w:val="24"/>
          <w:szCs w:val="24"/>
        </w:rPr>
      </w:pPr>
      <w:r>
        <w:rPr>
          <w:b/>
          <w:bCs/>
          <w:sz w:val="24"/>
          <w:szCs w:val="24"/>
        </w:rPr>
        <w:lastRenderedPageBreak/>
        <w:t>ANEXOS</w:t>
      </w:r>
    </w:p>
    <w:p w14:paraId="28298530" w14:textId="77777777" w:rsidR="004C2238" w:rsidRDefault="006A3E1D">
      <w:pPr>
        <w:pStyle w:val="Ttulo1"/>
        <w:jc w:val="center"/>
        <w:rPr>
          <w:rFonts w:ascii="Arial" w:eastAsia="Arial" w:hAnsi="Arial" w:cs="Arial"/>
          <w:b/>
          <w:bCs/>
          <w:sz w:val="24"/>
          <w:szCs w:val="24"/>
        </w:rPr>
      </w:pPr>
      <w:bookmarkStart w:id="54" w:name="_Toc233705388"/>
      <w:r>
        <w:rPr>
          <w:rFonts w:ascii="Arial" w:eastAsia="Arial" w:hAnsi="Arial" w:cs="Arial"/>
          <w:b/>
          <w:bCs/>
          <w:color w:val="000000"/>
          <w:sz w:val="24"/>
          <w:szCs w:val="24"/>
        </w:rPr>
        <w:t>Anexo 1.  Soporte normativo</w:t>
      </w:r>
      <w:bookmarkEnd w:id="54"/>
    </w:p>
    <w:p w14:paraId="5BE75382" w14:textId="77777777" w:rsidR="004C2238" w:rsidRDefault="004C2238">
      <w:pPr>
        <w:pBdr>
          <w:top w:val="nil"/>
          <w:left w:val="nil"/>
          <w:bottom w:val="nil"/>
          <w:right w:val="nil"/>
          <w:between w:val="nil"/>
        </w:pBdr>
        <w:rPr>
          <w:b/>
          <w:bCs/>
          <w:sz w:val="24"/>
          <w:szCs w:val="24"/>
        </w:rPr>
      </w:pPr>
    </w:p>
    <w:p w14:paraId="547B9098" w14:textId="77777777" w:rsidR="004C2238" w:rsidRDefault="004C2238">
      <w:pPr>
        <w:pBdr>
          <w:top w:val="nil"/>
          <w:left w:val="nil"/>
          <w:bottom w:val="nil"/>
          <w:right w:val="nil"/>
          <w:between w:val="nil"/>
        </w:pBdr>
        <w:rPr>
          <w:b/>
          <w:bCs/>
          <w:sz w:val="24"/>
          <w:szCs w:val="24"/>
        </w:rPr>
      </w:pPr>
    </w:p>
    <w:p w14:paraId="2367066A" w14:textId="77777777" w:rsidR="004C2238" w:rsidRDefault="004C2238">
      <w:pPr>
        <w:rPr>
          <w:sz w:val="24"/>
          <w:szCs w:val="24"/>
        </w:rPr>
      </w:pPr>
    </w:p>
    <w:sdt>
      <w:sdtPr>
        <w:tag w:val="goog_rdk_0"/>
        <w:id w:val="682286502"/>
        <w:lock w:val="contentLocked"/>
      </w:sdtPr>
      <w:sdtEndPr/>
      <w:sdtContent>
        <w:tbl>
          <w:tblPr>
            <w:tblStyle w:val="a2"/>
            <w:tblW w:w="88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46"/>
            <w:gridCol w:w="2946"/>
            <w:gridCol w:w="2946"/>
          </w:tblGrid>
          <w:tr w:rsidR="004C2238" w14:paraId="64CBE91B" w14:textId="77777777">
            <w:tc>
              <w:tcPr>
                <w:tcW w:w="2946" w:type="dxa"/>
                <w:tcMar>
                  <w:top w:w="100" w:type="dxa"/>
                  <w:left w:w="100" w:type="dxa"/>
                  <w:bottom w:w="100" w:type="dxa"/>
                  <w:right w:w="100" w:type="dxa"/>
                </w:tcMar>
              </w:tcPr>
              <w:p w14:paraId="426DD943" w14:textId="77777777" w:rsidR="004C2238" w:rsidRDefault="006A3E1D">
                <w:pPr>
                  <w:widowControl w:val="0"/>
                  <w:pBdr>
                    <w:top w:val="nil"/>
                    <w:left w:val="nil"/>
                    <w:bottom w:val="nil"/>
                    <w:right w:val="nil"/>
                    <w:between w:val="nil"/>
                  </w:pBdr>
                  <w:spacing w:line="240" w:lineRule="auto"/>
                  <w:jc w:val="center"/>
                  <w:rPr>
                    <w:b/>
                    <w:bCs/>
                    <w:sz w:val="24"/>
                    <w:szCs w:val="24"/>
                  </w:rPr>
                </w:pPr>
                <w:r>
                  <w:rPr>
                    <w:b/>
                    <w:bCs/>
                    <w:sz w:val="24"/>
                    <w:szCs w:val="24"/>
                  </w:rPr>
                  <w:t>Norma</w:t>
                </w:r>
              </w:p>
            </w:tc>
            <w:tc>
              <w:tcPr>
                <w:tcW w:w="2946" w:type="dxa"/>
                <w:tcMar>
                  <w:top w:w="100" w:type="dxa"/>
                  <w:left w:w="100" w:type="dxa"/>
                  <w:bottom w:w="100" w:type="dxa"/>
                  <w:right w:w="100" w:type="dxa"/>
                </w:tcMar>
              </w:tcPr>
              <w:p w14:paraId="0B34C77E" w14:textId="77777777" w:rsidR="004C2238" w:rsidRDefault="006A3E1D">
                <w:pPr>
                  <w:widowControl w:val="0"/>
                  <w:pBdr>
                    <w:top w:val="nil"/>
                    <w:left w:val="nil"/>
                    <w:bottom w:val="nil"/>
                    <w:right w:val="nil"/>
                    <w:between w:val="nil"/>
                  </w:pBdr>
                  <w:spacing w:line="240" w:lineRule="auto"/>
                  <w:jc w:val="center"/>
                  <w:rPr>
                    <w:b/>
                    <w:bCs/>
                    <w:sz w:val="24"/>
                    <w:szCs w:val="24"/>
                  </w:rPr>
                </w:pPr>
                <w:r>
                  <w:rPr>
                    <w:b/>
                    <w:bCs/>
                    <w:sz w:val="24"/>
                    <w:szCs w:val="24"/>
                  </w:rPr>
                  <w:t>Contenido</w:t>
                </w:r>
              </w:p>
            </w:tc>
            <w:tc>
              <w:tcPr>
                <w:tcW w:w="2946" w:type="dxa"/>
                <w:tcMar>
                  <w:top w:w="100" w:type="dxa"/>
                  <w:left w:w="100" w:type="dxa"/>
                  <w:bottom w:w="100" w:type="dxa"/>
                  <w:right w:w="100" w:type="dxa"/>
                </w:tcMar>
              </w:tcPr>
              <w:p w14:paraId="02D5F2B0" w14:textId="77777777" w:rsidR="004C2238" w:rsidRDefault="006A3E1D">
                <w:pPr>
                  <w:widowControl w:val="0"/>
                  <w:pBdr>
                    <w:top w:val="nil"/>
                    <w:left w:val="nil"/>
                    <w:bottom w:val="nil"/>
                    <w:right w:val="nil"/>
                    <w:between w:val="nil"/>
                  </w:pBdr>
                  <w:spacing w:line="240" w:lineRule="auto"/>
                  <w:jc w:val="center"/>
                  <w:rPr>
                    <w:b/>
                    <w:bCs/>
                    <w:sz w:val="24"/>
                    <w:szCs w:val="24"/>
                  </w:rPr>
                </w:pPr>
                <w:r>
                  <w:rPr>
                    <w:b/>
                    <w:bCs/>
                    <w:sz w:val="24"/>
                    <w:szCs w:val="24"/>
                  </w:rPr>
                  <w:t>Aplicación en el procedimiento</w:t>
                </w:r>
              </w:p>
            </w:tc>
          </w:tr>
          <w:tr w:rsidR="004C2238" w14:paraId="0A43B79F" w14:textId="77777777">
            <w:tc>
              <w:tcPr>
                <w:tcW w:w="2946" w:type="dxa"/>
                <w:tcMar>
                  <w:top w:w="100" w:type="dxa"/>
                  <w:left w:w="100" w:type="dxa"/>
                  <w:bottom w:w="100" w:type="dxa"/>
                  <w:right w:w="100" w:type="dxa"/>
                </w:tcMar>
              </w:tcPr>
              <w:p w14:paraId="7DBAA03A" w14:textId="77777777" w:rsidR="004C2238" w:rsidRDefault="006A3E1D">
                <w:pPr>
                  <w:rPr>
                    <w:sz w:val="24"/>
                    <w:szCs w:val="24"/>
                  </w:rPr>
                </w:pPr>
                <w:r>
                  <w:rPr>
                    <w:sz w:val="24"/>
                    <w:szCs w:val="24"/>
                  </w:rPr>
                  <w:t>Constitución Política, Art. 313 numeral 3</w:t>
                </w:r>
              </w:p>
            </w:tc>
            <w:tc>
              <w:tcPr>
                <w:tcW w:w="2946" w:type="dxa"/>
                <w:tcMar>
                  <w:top w:w="100" w:type="dxa"/>
                  <w:left w:w="100" w:type="dxa"/>
                  <w:bottom w:w="100" w:type="dxa"/>
                  <w:right w:w="100" w:type="dxa"/>
                </w:tcMar>
              </w:tcPr>
              <w:p w14:paraId="7BA1C5BB" w14:textId="77777777" w:rsidR="004C2238" w:rsidRDefault="006A3E1D">
                <w:pPr>
                  <w:rPr>
                    <w:sz w:val="24"/>
                    <w:szCs w:val="24"/>
                  </w:rPr>
                </w:pPr>
                <w:r>
                  <w:rPr>
                    <w:sz w:val="24"/>
                    <w:szCs w:val="24"/>
                  </w:rPr>
                  <w:t>Autoriza al Concejo Municipal a facultar al alcalde para disponer del patrimonio público.</w:t>
                </w:r>
              </w:p>
            </w:tc>
            <w:tc>
              <w:tcPr>
                <w:tcW w:w="2946" w:type="dxa"/>
                <w:tcMar>
                  <w:top w:w="100" w:type="dxa"/>
                  <w:left w:w="100" w:type="dxa"/>
                  <w:bottom w:w="100" w:type="dxa"/>
                  <w:right w:w="100" w:type="dxa"/>
                </w:tcMar>
              </w:tcPr>
              <w:p w14:paraId="082B9019" w14:textId="77777777" w:rsidR="004C2238" w:rsidRDefault="006A3E1D">
                <w:pPr>
                  <w:rPr>
                    <w:sz w:val="24"/>
                    <w:szCs w:val="24"/>
                  </w:rPr>
                </w:pPr>
                <w:r>
                  <w:rPr>
                    <w:sz w:val="24"/>
                    <w:szCs w:val="24"/>
                  </w:rPr>
                  <w:t>Permite la autorización previa del Concejo para enajenar bienes fiscales de manera directa.</w:t>
                </w:r>
              </w:p>
            </w:tc>
          </w:tr>
          <w:tr w:rsidR="004C2238" w14:paraId="7E92DA91" w14:textId="77777777">
            <w:tc>
              <w:tcPr>
                <w:tcW w:w="2946" w:type="dxa"/>
                <w:tcMar>
                  <w:top w:w="100" w:type="dxa"/>
                  <w:left w:w="100" w:type="dxa"/>
                  <w:bottom w:w="100" w:type="dxa"/>
                  <w:right w:w="100" w:type="dxa"/>
                </w:tcMar>
              </w:tcPr>
              <w:p w14:paraId="62E80C80" w14:textId="77777777" w:rsidR="004C2238" w:rsidRDefault="006A3E1D">
                <w:pPr>
                  <w:rPr>
                    <w:sz w:val="24"/>
                    <w:szCs w:val="24"/>
                  </w:rPr>
                </w:pPr>
                <w:r>
                  <w:rPr>
                    <w:sz w:val="24"/>
                    <w:szCs w:val="24"/>
                  </w:rPr>
                  <w:t>Ley 80 de 1993</w:t>
                </w:r>
              </w:p>
            </w:tc>
            <w:tc>
              <w:tcPr>
                <w:tcW w:w="2946" w:type="dxa"/>
                <w:tcMar>
                  <w:top w:w="100" w:type="dxa"/>
                  <w:left w:w="100" w:type="dxa"/>
                  <w:bottom w:w="100" w:type="dxa"/>
                  <w:right w:w="100" w:type="dxa"/>
                </w:tcMar>
              </w:tcPr>
              <w:p w14:paraId="7B347E1C" w14:textId="77777777" w:rsidR="004C2238" w:rsidRDefault="006A3E1D">
                <w:pPr>
                  <w:rPr>
                    <w:sz w:val="24"/>
                    <w:szCs w:val="24"/>
                  </w:rPr>
                </w:pPr>
                <w:r>
                  <w:rPr>
                    <w:sz w:val="24"/>
                    <w:szCs w:val="24"/>
                  </w:rPr>
                  <w:t>Autoriza al Concejo Municipal a facultar al alcalde para disponer del patrimonio público.</w:t>
                </w:r>
              </w:p>
            </w:tc>
            <w:tc>
              <w:tcPr>
                <w:tcW w:w="2946" w:type="dxa"/>
                <w:tcMar>
                  <w:top w:w="100" w:type="dxa"/>
                  <w:left w:w="100" w:type="dxa"/>
                  <w:bottom w:w="100" w:type="dxa"/>
                  <w:right w:w="100" w:type="dxa"/>
                </w:tcMar>
              </w:tcPr>
              <w:p w14:paraId="27D702CA" w14:textId="77777777" w:rsidR="004C2238" w:rsidRDefault="006A3E1D">
                <w:pPr>
                  <w:rPr>
                    <w:sz w:val="24"/>
                    <w:szCs w:val="24"/>
                  </w:rPr>
                </w:pPr>
                <w:r>
                  <w:rPr>
                    <w:sz w:val="24"/>
                    <w:szCs w:val="24"/>
                  </w:rPr>
                  <w:t>Permite la autorización previa del Concejo para enajenar bienes fiscales de manera directa.</w:t>
                </w:r>
              </w:p>
            </w:tc>
          </w:tr>
          <w:tr w:rsidR="004C2238" w14:paraId="1E8CB9E1" w14:textId="77777777">
            <w:tc>
              <w:tcPr>
                <w:tcW w:w="2946" w:type="dxa"/>
                <w:tcMar>
                  <w:top w:w="100" w:type="dxa"/>
                  <w:left w:w="100" w:type="dxa"/>
                  <w:bottom w:w="100" w:type="dxa"/>
                  <w:right w:w="100" w:type="dxa"/>
                </w:tcMar>
              </w:tcPr>
              <w:p w14:paraId="62D7EF0D" w14:textId="77777777" w:rsidR="004C2238" w:rsidRDefault="006A3E1D">
                <w:pPr>
                  <w:rPr>
                    <w:sz w:val="24"/>
                    <w:szCs w:val="24"/>
                  </w:rPr>
                </w:pPr>
                <w:r>
                  <w:rPr>
                    <w:sz w:val="24"/>
                    <w:szCs w:val="24"/>
                  </w:rPr>
                  <w:t>Ley 1537 de 2012, Art. 31</w:t>
                </w:r>
              </w:p>
            </w:tc>
            <w:tc>
              <w:tcPr>
                <w:tcW w:w="2946" w:type="dxa"/>
                <w:tcMar>
                  <w:top w:w="100" w:type="dxa"/>
                  <w:left w:w="100" w:type="dxa"/>
                  <w:bottom w:w="100" w:type="dxa"/>
                  <w:right w:w="100" w:type="dxa"/>
                </w:tcMar>
              </w:tcPr>
              <w:p w14:paraId="10FAA1AA" w14:textId="77777777" w:rsidR="004C2238" w:rsidRDefault="006A3E1D">
                <w:pPr>
                  <w:rPr>
                    <w:sz w:val="24"/>
                    <w:szCs w:val="24"/>
                  </w:rPr>
                </w:pPr>
                <w:r>
                  <w:rPr>
                    <w:sz w:val="24"/>
                    <w:szCs w:val="24"/>
                  </w:rPr>
                  <w:t>Restricciones de transferencia de derecho real y residencia mínima.</w:t>
                </w:r>
              </w:p>
            </w:tc>
            <w:tc>
              <w:tcPr>
                <w:tcW w:w="2946" w:type="dxa"/>
                <w:tcMar>
                  <w:top w:w="100" w:type="dxa"/>
                  <w:left w:w="100" w:type="dxa"/>
                  <w:bottom w:w="100" w:type="dxa"/>
                  <w:right w:w="100" w:type="dxa"/>
                </w:tcMar>
              </w:tcPr>
              <w:p w14:paraId="7A18A55C" w14:textId="77777777" w:rsidR="004C2238" w:rsidRDefault="006A3E1D">
                <w:pPr>
                  <w:rPr>
                    <w:sz w:val="24"/>
                    <w:szCs w:val="24"/>
                  </w:rPr>
                </w:pPr>
                <w:r>
                  <w:rPr>
                    <w:sz w:val="24"/>
                    <w:szCs w:val="24"/>
                  </w:rPr>
                  <w:t>No aplican a los bienes fiscales enajenados directamente a ocupantes ilegales.</w:t>
                </w:r>
              </w:p>
            </w:tc>
          </w:tr>
          <w:tr w:rsidR="004C2238" w14:paraId="1552F1D7" w14:textId="77777777">
            <w:tc>
              <w:tcPr>
                <w:tcW w:w="2946" w:type="dxa"/>
                <w:tcMar>
                  <w:top w:w="100" w:type="dxa"/>
                  <w:left w:w="100" w:type="dxa"/>
                  <w:bottom w:w="100" w:type="dxa"/>
                  <w:right w:w="100" w:type="dxa"/>
                </w:tcMar>
              </w:tcPr>
              <w:p w14:paraId="17C39F2B" w14:textId="77777777" w:rsidR="004C2238" w:rsidRDefault="006A3E1D">
                <w:pPr>
                  <w:rPr>
                    <w:sz w:val="24"/>
                    <w:szCs w:val="24"/>
                  </w:rPr>
                </w:pPr>
                <w:r>
                  <w:rPr>
                    <w:sz w:val="24"/>
                    <w:szCs w:val="24"/>
                  </w:rPr>
                  <w:t>Ley 1955 de 2019, Art. 277, Parágrafo 1°</w:t>
                </w:r>
              </w:p>
            </w:tc>
            <w:tc>
              <w:tcPr>
                <w:tcW w:w="2946" w:type="dxa"/>
                <w:tcMar>
                  <w:top w:w="100" w:type="dxa"/>
                  <w:left w:w="100" w:type="dxa"/>
                  <w:bottom w:w="100" w:type="dxa"/>
                  <w:right w:w="100" w:type="dxa"/>
                </w:tcMar>
              </w:tcPr>
              <w:p w14:paraId="46BDF176" w14:textId="77777777" w:rsidR="004C2238" w:rsidRDefault="006A3E1D">
                <w:pPr>
                  <w:rPr>
                    <w:sz w:val="24"/>
                    <w:szCs w:val="24"/>
                  </w:rPr>
                </w:pPr>
                <w:r>
                  <w:rPr>
                    <w:sz w:val="24"/>
                    <w:szCs w:val="24"/>
                  </w:rPr>
                  <w:t>Enajenación directa de predios con mejoras sin destinación habitacional por valor catastral.</w:t>
                </w:r>
              </w:p>
            </w:tc>
            <w:tc>
              <w:tcPr>
                <w:tcW w:w="2946" w:type="dxa"/>
                <w:tcMar>
                  <w:top w:w="100" w:type="dxa"/>
                  <w:left w:w="100" w:type="dxa"/>
                  <w:bottom w:w="100" w:type="dxa"/>
                  <w:right w:w="100" w:type="dxa"/>
                </w:tcMar>
              </w:tcPr>
              <w:p w14:paraId="7FE52896" w14:textId="77777777" w:rsidR="004C2238" w:rsidRDefault="006A3E1D">
                <w:pPr>
                  <w:rPr>
                    <w:sz w:val="24"/>
                    <w:szCs w:val="24"/>
                  </w:rPr>
                </w:pPr>
                <w:r>
                  <w:rPr>
                    <w:sz w:val="24"/>
                    <w:szCs w:val="24"/>
                  </w:rPr>
                  <w:t>Define el valor base y procedimiento para bienes no habitacionales.</w:t>
                </w:r>
              </w:p>
            </w:tc>
          </w:tr>
          <w:tr w:rsidR="004C2238" w14:paraId="7B11D611" w14:textId="77777777">
            <w:tc>
              <w:tcPr>
                <w:tcW w:w="2946" w:type="dxa"/>
                <w:tcMar>
                  <w:top w:w="100" w:type="dxa"/>
                  <w:left w:w="100" w:type="dxa"/>
                  <w:bottom w:w="100" w:type="dxa"/>
                  <w:right w:w="100" w:type="dxa"/>
                </w:tcMar>
              </w:tcPr>
              <w:p w14:paraId="2A147570" w14:textId="77777777" w:rsidR="004C2238" w:rsidRDefault="006A3E1D">
                <w:pPr>
                  <w:rPr>
                    <w:sz w:val="24"/>
                    <w:szCs w:val="24"/>
                  </w:rPr>
                </w:pPr>
                <w:r>
                  <w:rPr>
                    <w:sz w:val="24"/>
                    <w:szCs w:val="24"/>
                  </w:rPr>
                  <w:t>Ley 708 de 2001, modificado por Ley 2044 de 2020, Art. 14</w:t>
                </w:r>
              </w:p>
            </w:tc>
            <w:tc>
              <w:tcPr>
                <w:tcW w:w="2946" w:type="dxa"/>
                <w:tcMar>
                  <w:top w:w="100" w:type="dxa"/>
                  <w:left w:w="100" w:type="dxa"/>
                  <w:bottom w:w="100" w:type="dxa"/>
                  <w:right w:w="100" w:type="dxa"/>
                </w:tcMar>
              </w:tcPr>
              <w:p w14:paraId="6DEA033B" w14:textId="77777777" w:rsidR="004C2238" w:rsidRDefault="006A3E1D">
                <w:pPr>
                  <w:rPr>
                    <w:sz w:val="24"/>
                    <w:szCs w:val="24"/>
                  </w:rPr>
                </w:pPr>
                <w:r>
                  <w:rPr>
                    <w:sz w:val="24"/>
                    <w:szCs w:val="24"/>
                  </w:rPr>
                  <w:t>Enajenación directa sin sujeción plena a normas de contratación estatal para inmuebles habitacionales que no califican para cesión gratuita.</w:t>
                </w:r>
              </w:p>
            </w:tc>
            <w:tc>
              <w:tcPr>
                <w:tcW w:w="2946" w:type="dxa"/>
                <w:tcMar>
                  <w:top w:w="100" w:type="dxa"/>
                  <w:left w:w="100" w:type="dxa"/>
                  <w:bottom w:w="100" w:type="dxa"/>
                  <w:right w:w="100" w:type="dxa"/>
                </w:tcMar>
              </w:tcPr>
              <w:p w14:paraId="458ADB74" w14:textId="77777777" w:rsidR="004C2238" w:rsidRDefault="006A3E1D">
                <w:pPr>
                  <w:rPr>
                    <w:sz w:val="24"/>
                    <w:szCs w:val="24"/>
                  </w:rPr>
                </w:pPr>
                <w:r>
                  <w:rPr>
                    <w:sz w:val="24"/>
                    <w:szCs w:val="24"/>
                  </w:rPr>
                  <w:t>Permite formalizar la transferencia con resolución administrativa y constitución de patrimonio de familia.</w:t>
                </w:r>
              </w:p>
            </w:tc>
          </w:tr>
          <w:tr w:rsidR="004C2238" w14:paraId="7C656518" w14:textId="77777777">
            <w:tc>
              <w:tcPr>
                <w:tcW w:w="2946" w:type="dxa"/>
                <w:tcMar>
                  <w:top w:w="100" w:type="dxa"/>
                  <w:left w:w="100" w:type="dxa"/>
                  <w:bottom w:w="100" w:type="dxa"/>
                  <w:right w:w="100" w:type="dxa"/>
                </w:tcMar>
              </w:tcPr>
              <w:p w14:paraId="764E3DB6" w14:textId="77777777" w:rsidR="004C2238" w:rsidRDefault="006A3E1D">
                <w:pPr>
                  <w:rPr>
                    <w:sz w:val="24"/>
                    <w:szCs w:val="24"/>
                  </w:rPr>
                </w:pPr>
                <w:r>
                  <w:rPr>
                    <w:sz w:val="24"/>
                    <w:szCs w:val="24"/>
                  </w:rPr>
                  <w:lastRenderedPageBreak/>
                  <w:t>Ley 1001 de 2005, Art. 3° (modificado)</w:t>
                </w:r>
              </w:p>
            </w:tc>
            <w:tc>
              <w:tcPr>
                <w:tcW w:w="2946" w:type="dxa"/>
                <w:tcMar>
                  <w:top w:w="100" w:type="dxa"/>
                  <w:left w:w="100" w:type="dxa"/>
                  <w:bottom w:w="100" w:type="dxa"/>
                  <w:right w:w="100" w:type="dxa"/>
                </w:tcMar>
              </w:tcPr>
              <w:p w14:paraId="32A272C4" w14:textId="77777777" w:rsidR="004C2238" w:rsidRDefault="006A3E1D">
                <w:pPr>
                  <w:rPr>
                    <w:sz w:val="24"/>
                    <w:szCs w:val="24"/>
                  </w:rPr>
                </w:pPr>
                <w:r>
                  <w:rPr>
                    <w:sz w:val="24"/>
                    <w:szCs w:val="24"/>
                  </w:rPr>
                  <w:t>Regulación complementaria de enajenación de bienes fiscales.</w:t>
                </w:r>
              </w:p>
            </w:tc>
            <w:tc>
              <w:tcPr>
                <w:tcW w:w="2946" w:type="dxa"/>
                <w:tcMar>
                  <w:top w:w="100" w:type="dxa"/>
                  <w:left w:w="100" w:type="dxa"/>
                  <w:bottom w:w="100" w:type="dxa"/>
                  <w:right w:w="100" w:type="dxa"/>
                </w:tcMar>
              </w:tcPr>
              <w:p w14:paraId="1D19A897" w14:textId="77777777" w:rsidR="004C2238" w:rsidRDefault="006A3E1D">
                <w:pPr>
                  <w:rPr>
                    <w:sz w:val="24"/>
                    <w:szCs w:val="24"/>
                  </w:rPr>
                </w:pPr>
                <w:r>
                  <w:rPr>
                    <w:sz w:val="24"/>
                    <w:szCs w:val="24"/>
                  </w:rPr>
                  <w:t>Refuerza el marco legal para casos especiales de ocupación ilegal.</w:t>
                </w:r>
              </w:p>
            </w:tc>
          </w:tr>
          <w:tr w:rsidR="004C2238" w14:paraId="7E50B7C9" w14:textId="77777777">
            <w:tc>
              <w:tcPr>
                <w:tcW w:w="2946" w:type="dxa"/>
                <w:tcMar>
                  <w:top w:w="100" w:type="dxa"/>
                  <w:left w:w="100" w:type="dxa"/>
                  <w:bottom w:w="100" w:type="dxa"/>
                  <w:right w:w="100" w:type="dxa"/>
                </w:tcMar>
              </w:tcPr>
              <w:p w14:paraId="58E44B6B" w14:textId="77777777" w:rsidR="004C2238" w:rsidRDefault="006A3E1D">
                <w:pPr>
                  <w:rPr>
                    <w:sz w:val="24"/>
                    <w:szCs w:val="24"/>
                  </w:rPr>
                </w:pPr>
                <w:r>
                  <w:rPr>
                    <w:sz w:val="24"/>
                    <w:szCs w:val="24"/>
                  </w:rPr>
                  <w:t>Decreto 523 de 2021</w:t>
                </w:r>
              </w:p>
              <w:p w14:paraId="492E31E5" w14:textId="77777777" w:rsidR="004C2238" w:rsidRDefault="004C2238">
                <w:pPr>
                  <w:rPr>
                    <w:sz w:val="24"/>
                    <w:szCs w:val="24"/>
                  </w:rPr>
                </w:pPr>
              </w:p>
              <w:p w14:paraId="0C3CF8DC" w14:textId="77777777" w:rsidR="004C2238" w:rsidRDefault="004C2238">
                <w:pPr>
                  <w:rPr>
                    <w:sz w:val="24"/>
                    <w:szCs w:val="24"/>
                  </w:rPr>
                </w:pPr>
              </w:p>
              <w:p w14:paraId="1A23BB28" w14:textId="77777777" w:rsidR="004C2238" w:rsidRDefault="004C2238">
                <w:pPr>
                  <w:rPr>
                    <w:sz w:val="24"/>
                    <w:szCs w:val="24"/>
                  </w:rPr>
                </w:pPr>
              </w:p>
              <w:p w14:paraId="67CFBFF3" w14:textId="77777777" w:rsidR="004C2238" w:rsidRDefault="004C2238">
                <w:pPr>
                  <w:rPr>
                    <w:sz w:val="24"/>
                    <w:szCs w:val="24"/>
                  </w:rPr>
                </w:pPr>
              </w:p>
              <w:p w14:paraId="2803C5FD" w14:textId="77777777" w:rsidR="004C2238" w:rsidRDefault="004C2238">
                <w:pPr>
                  <w:rPr>
                    <w:sz w:val="24"/>
                    <w:szCs w:val="24"/>
                  </w:rPr>
                </w:pPr>
              </w:p>
              <w:p w14:paraId="33CF464A" w14:textId="77777777" w:rsidR="004C2238" w:rsidRDefault="004C2238">
                <w:pPr>
                  <w:rPr>
                    <w:sz w:val="24"/>
                    <w:szCs w:val="24"/>
                  </w:rPr>
                </w:pPr>
              </w:p>
              <w:p w14:paraId="31C85462" w14:textId="77777777" w:rsidR="004C2238" w:rsidRDefault="004C2238">
                <w:pPr>
                  <w:rPr>
                    <w:sz w:val="24"/>
                    <w:szCs w:val="24"/>
                  </w:rPr>
                </w:pPr>
              </w:p>
              <w:p w14:paraId="6D5A02B9" w14:textId="77777777" w:rsidR="004C2238" w:rsidRDefault="004C2238">
                <w:pPr>
                  <w:rPr>
                    <w:sz w:val="24"/>
                    <w:szCs w:val="24"/>
                  </w:rPr>
                </w:pPr>
              </w:p>
              <w:p w14:paraId="31276C38" w14:textId="77777777" w:rsidR="004C2238" w:rsidRDefault="006A3E1D">
                <w:pPr>
                  <w:rPr>
                    <w:sz w:val="24"/>
                    <w:szCs w:val="24"/>
                  </w:rPr>
                </w:pPr>
                <w:r>
                  <w:rPr>
                    <w:sz w:val="24"/>
                    <w:szCs w:val="24"/>
                  </w:rPr>
                  <w:t>Ley 1753 de 2015, Art. 163</w:t>
                </w:r>
              </w:p>
            </w:tc>
            <w:tc>
              <w:tcPr>
                <w:tcW w:w="2946" w:type="dxa"/>
                <w:tcMar>
                  <w:top w:w="100" w:type="dxa"/>
                  <w:left w:w="100" w:type="dxa"/>
                  <w:bottom w:w="100" w:type="dxa"/>
                  <w:right w:w="100" w:type="dxa"/>
                </w:tcMar>
              </w:tcPr>
              <w:p w14:paraId="506F614E" w14:textId="77777777" w:rsidR="004C2238" w:rsidRDefault="006A3E1D">
                <w:pPr>
                  <w:rPr>
                    <w:sz w:val="24"/>
                    <w:szCs w:val="24"/>
                  </w:rPr>
                </w:pPr>
                <w:r>
                  <w:rPr>
                    <w:sz w:val="24"/>
                    <w:szCs w:val="24"/>
                  </w:rPr>
                  <w:t>Reglamenta el procedimiento de enajenación directa de bienes fiscales, incluyendo oferta al ocupante, plazos, avalúo, segregación y formalización.</w:t>
                </w:r>
              </w:p>
              <w:p w14:paraId="5BF4D9AE" w14:textId="77777777" w:rsidR="004C2238" w:rsidRDefault="004C2238">
                <w:pPr>
                  <w:rPr>
                    <w:sz w:val="24"/>
                    <w:szCs w:val="24"/>
                  </w:rPr>
                </w:pPr>
              </w:p>
              <w:p w14:paraId="5B4FDB13" w14:textId="77777777" w:rsidR="004C2238" w:rsidRDefault="006A3E1D">
                <w:pPr>
                  <w:rPr>
                    <w:sz w:val="24"/>
                    <w:szCs w:val="24"/>
                  </w:rPr>
                </w:pPr>
                <w:r>
                  <w:rPr>
                    <w:sz w:val="24"/>
                    <w:szCs w:val="24"/>
                  </w:rPr>
                  <w:t>Mecanismos de gestión de inmuebles fiscales por CISA.</w:t>
                </w:r>
              </w:p>
              <w:p w14:paraId="21945334" w14:textId="77777777" w:rsidR="004C2238" w:rsidRDefault="004C2238">
                <w:pPr>
                  <w:rPr>
                    <w:sz w:val="24"/>
                    <w:szCs w:val="24"/>
                  </w:rPr>
                </w:pPr>
              </w:p>
              <w:p w14:paraId="5248A990" w14:textId="77777777" w:rsidR="004C2238" w:rsidRDefault="004C2238">
                <w:pPr>
                  <w:rPr>
                    <w:sz w:val="24"/>
                    <w:szCs w:val="24"/>
                  </w:rPr>
                </w:pPr>
              </w:p>
            </w:tc>
            <w:tc>
              <w:tcPr>
                <w:tcW w:w="2946" w:type="dxa"/>
                <w:tcMar>
                  <w:top w:w="100" w:type="dxa"/>
                  <w:left w:w="100" w:type="dxa"/>
                  <w:bottom w:w="100" w:type="dxa"/>
                  <w:right w:w="100" w:type="dxa"/>
                </w:tcMar>
              </w:tcPr>
              <w:p w14:paraId="489DD194" w14:textId="77777777" w:rsidR="004C2238" w:rsidRDefault="006A3E1D">
                <w:pPr>
                  <w:rPr>
                    <w:sz w:val="24"/>
                    <w:szCs w:val="24"/>
                  </w:rPr>
                </w:pPr>
                <w:r>
                  <w:rPr>
                    <w:sz w:val="24"/>
                    <w:szCs w:val="24"/>
                  </w:rPr>
                  <w:t>Guía la aplicación práctica del procedimiento en municipios, asegurando legalidad, transparencia y regularización del predio.</w:t>
                </w:r>
              </w:p>
              <w:p w14:paraId="697DF38E" w14:textId="77777777" w:rsidR="004C2238" w:rsidRDefault="004C2238">
                <w:pPr>
                  <w:rPr>
                    <w:sz w:val="24"/>
                    <w:szCs w:val="24"/>
                  </w:rPr>
                </w:pPr>
              </w:p>
              <w:p w14:paraId="1FF571CB" w14:textId="77777777" w:rsidR="004C2238" w:rsidRDefault="004C2238">
                <w:pPr>
                  <w:rPr>
                    <w:sz w:val="24"/>
                    <w:szCs w:val="24"/>
                  </w:rPr>
                </w:pPr>
              </w:p>
              <w:p w14:paraId="261B3F1B" w14:textId="77777777" w:rsidR="004C2238" w:rsidRDefault="006A3E1D">
                <w:pPr>
                  <w:rPr>
                    <w:sz w:val="24"/>
                    <w:szCs w:val="24"/>
                  </w:rPr>
                </w:pPr>
                <w:r>
                  <w:rPr>
                    <w:sz w:val="24"/>
                    <w:szCs w:val="24"/>
                  </w:rPr>
                  <w:t>Permite que CISA gestione bienes cuando el municipio no los requiere o no se acepta su enajenación.</w:t>
                </w:r>
              </w:p>
            </w:tc>
          </w:tr>
        </w:tbl>
      </w:sdtContent>
    </w:sdt>
    <w:p w14:paraId="79A79712" w14:textId="77777777" w:rsidR="004C2238" w:rsidRDefault="004C2238">
      <w:pPr>
        <w:pBdr>
          <w:top w:val="nil"/>
          <w:left w:val="nil"/>
          <w:bottom w:val="nil"/>
          <w:right w:val="nil"/>
          <w:between w:val="nil"/>
        </w:pBdr>
        <w:rPr>
          <w:b/>
          <w:bCs/>
          <w:sz w:val="24"/>
          <w:szCs w:val="24"/>
        </w:rPr>
      </w:pPr>
    </w:p>
    <w:p w14:paraId="2D5B93E3" w14:textId="77777777" w:rsidR="004C2238" w:rsidRDefault="004C2238">
      <w:pPr>
        <w:pBdr>
          <w:top w:val="nil"/>
          <w:left w:val="nil"/>
          <w:bottom w:val="nil"/>
          <w:right w:val="nil"/>
          <w:between w:val="nil"/>
        </w:pBdr>
        <w:rPr>
          <w:b/>
          <w:bCs/>
          <w:sz w:val="24"/>
          <w:szCs w:val="24"/>
        </w:rPr>
      </w:pPr>
    </w:p>
    <w:p w14:paraId="2D45392B" w14:textId="77777777" w:rsidR="004C2238" w:rsidRDefault="004C2238">
      <w:pPr>
        <w:pBdr>
          <w:top w:val="nil"/>
          <w:left w:val="nil"/>
          <w:bottom w:val="nil"/>
          <w:right w:val="nil"/>
          <w:between w:val="nil"/>
        </w:pBdr>
        <w:rPr>
          <w:sz w:val="24"/>
          <w:szCs w:val="24"/>
        </w:rPr>
      </w:pPr>
    </w:p>
    <w:sectPr w:rsidR="004C2238">
      <w:headerReference w:type="default" r:id="rId14"/>
      <w:footerReference w:type="even" r:id="rId15"/>
      <w:footerReference w:type="default" r:id="rId16"/>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CDBC3" w14:textId="77777777" w:rsidR="00D04D6B" w:rsidRDefault="00D04D6B">
      <w:pPr>
        <w:spacing w:line="240" w:lineRule="auto"/>
      </w:pPr>
      <w:r>
        <w:separator/>
      </w:r>
    </w:p>
  </w:endnote>
  <w:endnote w:type="continuationSeparator" w:id="0">
    <w:p w14:paraId="6EA12D0F" w14:textId="77777777" w:rsidR="00D04D6B" w:rsidRDefault="00D04D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ADC003C6-2B12-4172-BE20-CC0D4405CF3F}"/>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Play">
    <w:charset w:val="00"/>
    <w:family w:val="auto"/>
    <w:pitch w:val="default"/>
    <w:embedRegular r:id="rId2" w:fontKey="{00B51618-7AA0-4F42-A238-CB2D143DFFF7}"/>
    <w:embedBold r:id="rId3" w:fontKey="{0B19E6C2-4296-48F7-AAAB-FB154EE57358}"/>
  </w:font>
  <w:font w:name="Calibri">
    <w:panose1 w:val="020F0502020204030204"/>
    <w:charset w:val="00"/>
    <w:family w:val="swiss"/>
    <w:pitch w:val="variable"/>
    <w:sig w:usb0="E4002EFF" w:usb1="C200247B" w:usb2="00000009" w:usb3="00000000" w:csb0="000001FF" w:csb1="00000000"/>
    <w:embedRegular r:id="rId4" w:fontKey="{6FCFDE85-32B2-4562-AAFB-FFADCB5BC49F}"/>
    <w:embedBold r:id="rId5" w:fontKey="{A9590313-8BD4-4271-AA76-8119FC9961C0}"/>
  </w:font>
  <w:font w:name="Cambria">
    <w:panose1 w:val="02040503050406030204"/>
    <w:charset w:val="00"/>
    <w:family w:val="roman"/>
    <w:pitch w:val="variable"/>
    <w:sig w:usb0="E00006FF" w:usb1="420024FF" w:usb2="02000000" w:usb3="00000000" w:csb0="0000019F" w:csb1="00000000"/>
    <w:embedRegular r:id="rId6" w:fontKey="{C8F1DF61-5790-4831-9DDB-F6B3AEF49678}"/>
    <w:embedBold r:id="rId7" w:fontKey="{455C33B0-7EC0-49C5-9568-41B5B9330EEC}"/>
    <w:embedItalic r:id="rId8" w:fontKey="{D3DD7EEF-687D-4348-8577-466A0DB84299}"/>
    <w:embedBoldItalic r:id="rId9" w:fontKey="{0DF9CA36-9F3A-4C33-AF91-22112130F8A8}"/>
  </w:font>
  <w:font w:name="Aptos">
    <w:charset w:val="00"/>
    <w:family w:val="swiss"/>
    <w:pitch w:val="variable"/>
    <w:sig w:usb0="20000287" w:usb1="00000003" w:usb2="00000000" w:usb3="00000000" w:csb0="0000019F" w:csb1="00000000"/>
    <w:embedRegular r:id="rId10" w:fontKey="{D86A8C38-65A3-4F50-8B71-5BE3A612125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670626471"/>
      <w:docPartObj>
        <w:docPartGallery w:val="Page Numbers (Bottom of Page)"/>
        <w:docPartUnique/>
      </w:docPartObj>
    </w:sdtPr>
    <w:sdtEndPr>
      <w:rPr>
        <w:rStyle w:val="Nmerodepgina"/>
      </w:rPr>
    </w:sdtEndPr>
    <w:sdtContent>
      <w:p w14:paraId="1DE5FCB6" w14:textId="30E4A264" w:rsidR="00823287" w:rsidRDefault="00823287" w:rsidP="00841C19">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64E894C0" w14:textId="3C62305C" w:rsidR="004C2238" w:rsidRDefault="004C2238" w:rsidP="00823287">
    <w:pPr>
      <w:pBdr>
        <w:top w:val="nil"/>
        <w:left w:val="nil"/>
        <w:bottom w:val="nil"/>
        <w:right w:val="nil"/>
        <w:between w:val="nil"/>
      </w:pBdr>
      <w:tabs>
        <w:tab w:val="center" w:pos="4252"/>
        <w:tab w:val="right" w:pos="8504"/>
      </w:tabs>
      <w:spacing w:line="240" w:lineRule="auto"/>
      <w:ind w:right="360"/>
      <w:jc w:val="right"/>
      <w:rPr>
        <w:color w:val="000000"/>
      </w:rPr>
    </w:pPr>
  </w:p>
  <w:p w14:paraId="499F70C7" w14:textId="77777777" w:rsidR="004C2238" w:rsidRDefault="004C2238">
    <w:pPr>
      <w:pBdr>
        <w:top w:val="nil"/>
        <w:left w:val="nil"/>
        <w:bottom w:val="nil"/>
        <w:right w:val="nil"/>
        <w:between w:val="nil"/>
      </w:pBdr>
      <w:tabs>
        <w:tab w:val="center" w:pos="4252"/>
        <w:tab w:val="right" w:pos="8504"/>
      </w:tabs>
      <w:spacing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203216173"/>
      <w:docPartObj>
        <w:docPartGallery w:val="Page Numbers (Bottom of Page)"/>
        <w:docPartUnique/>
      </w:docPartObj>
    </w:sdtPr>
    <w:sdtEndPr>
      <w:rPr>
        <w:rStyle w:val="Nmerodepgina"/>
      </w:rPr>
    </w:sdtEndPr>
    <w:sdtContent>
      <w:p w14:paraId="7BCE5331" w14:textId="41B22378" w:rsidR="00823287" w:rsidRDefault="00823287" w:rsidP="00841C19">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sdtContent>
  </w:sdt>
  <w:p w14:paraId="3A04493D" w14:textId="77777777" w:rsidR="004C2238" w:rsidRDefault="004C2238">
    <w:pPr>
      <w:pBdr>
        <w:top w:val="nil"/>
        <w:left w:val="nil"/>
        <w:bottom w:val="nil"/>
        <w:right w:val="nil"/>
        <w:between w:val="nil"/>
      </w:pBdr>
      <w:tabs>
        <w:tab w:val="center" w:pos="4252"/>
        <w:tab w:val="right" w:pos="8504"/>
      </w:tabs>
      <w:spacing w:line="240" w:lineRule="auto"/>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44DEE" w14:textId="77777777" w:rsidR="00D04D6B" w:rsidRDefault="00D04D6B">
      <w:pPr>
        <w:spacing w:line="240" w:lineRule="auto"/>
      </w:pPr>
      <w:r>
        <w:separator/>
      </w:r>
    </w:p>
  </w:footnote>
  <w:footnote w:type="continuationSeparator" w:id="0">
    <w:p w14:paraId="25372B3E" w14:textId="77777777" w:rsidR="00D04D6B" w:rsidRDefault="00D04D6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84EF0" w14:textId="77777777" w:rsidR="004C2238" w:rsidRDefault="004C2238">
    <w:pPr>
      <w:rPr>
        <w:rFonts w:ascii="Calibri" w:eastAsia="Calibri" w:hAnsi="Calibri" w:cs="Calibri"/>
      </w:rPr>
    </w:pPr>
  </w:p>
  <w:tbl>
    <w:tblPr>
      <w:tblStyle w:val="a3"/>
      <w:tblW w:w="88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130"/>
      <w:gridCol w:w="4905"/>
      <w:gridCol w:w="1785"/>
    </w:tblGrid>
    <w:tr w:rsidR="004C2238" w14:paraId="725A4C68" w14:textId="77777777">
      <w:trPr>
        <w:trHeight w:val="1140"/>
      </w:trPr>
      <w:tc>
        <w:tcPr>
          <w:tcW w:w="2130" w:type="dxa"/>
          <w:tcBorders>
            <w:top w:val="single" w:sz="8" w:space="0" w:color="BDD7EE"/>
            <w:left w:val="single" w:sz="8" w:space="0" w:color="BDD7EE"/>
            <w:bottom w:val="single" w:sz="8" w:space="0" w:color="BDD7EE"/>
            <w:right w:val="single" w:sz="8" w:space="0" w:color="BDD7EE"/>
          </w:tcBorders>
          <w:tcMar>
            <w:top w:w="0" w:type="dxa"/>
            <w:left w:w="100" w:type="dxa"/>
            <w:bottom w:w="0" w:type="dxa"/>
            <w:right w:w="100" w:type="dxa"/>
          </w:tcMar>
        </w:tcPr>
        <w:p w14:paraId="57792933" w14:textId="77777777" w:rsidR="004C2238" w:rsidRDefault="006A3E1D">
          <w:pPr>
            <w:spacing w:after="160" w:line="278" w:lineRule="auto"/>
            <w:rPr>
              <w:rFonts w:ascii="Aptos" w:eastAsia="Aptos" w:hAnsi="Aptos" w:cs="Aptos"/>
              <w:sz w:val="24"/>
              <w:szCs w:val="24"/>
            </w:rPr>
          </w:pPr>
          <w:r>
            <w:rPr>
              <w:rFonts w:ascii="Aptos" w:eastAsia="Aptos" w:hAnsi="Aptos" w:cs="Aptos"/>
              <w:noProof/>
              <w:sz w:val="24"/>
              <w:szCs w:val="24"/>
            </w:rPr>
            <w:drawing>
              <wp:inline distT="114300" distB="114300" distL="114300" distR="114300" wp14:anchorId="0D058D2E" wp14:editId="2905D443">
                <wp:extent cx="1219200" cy="698500"/>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219200" cy="698500"/>
                        </a:xfrm>
                        <a:prstGeom prst="rect">
                          <a:avLst/>
                        </a:prstGeom>
                        <a:ln/>
                      </pic:spPr>
                    </pic:pic>
                  </a:graphicData>
                </a:graphic>
              </wp:inline>
            </w:drawing>
          </w:r>
        </w:p>
      </w:tc>
      <w:tc>
        <w:tcPr>
          <w:tcW w:w="4905" w:type="dxa"/>
          <w:tcBorders>
            <w:top w:val="single" w:sz="8" w:space="0" w:color="BDD7EE"/>
            <w:bottom w:val="single" w:sz="8" w:space="0" w:color="BDD7EE"/>
            <w:right w:val="single" w:sz="8" w:space="0" w:color="BDD7EE"/>
          </w:tcBorders>
          <w:tcMar>
            <w:top w:w="0" w:type="dxa"/>
            <w:left w:w="100" w:type="dxa"/>
            <w:bottom w:w="0" w:type="dxa"/>
            <w:right w:w="100" w:type="dxa"/>
          </w:tcMar>
        </w:tcPr>
        <w:p w14:paraId="5E2E6576" w14:textId="77777777" w:rsidR="004C2238" w:rsidRDefault="006A3E1D">
          <w:pPr>
            <w:spacing w:after="160" w:line="252" w:lineRule="auto"/>
            <w:jc w:val="center"/>
            <w:rPr>
              <w:rFonts w:ascii="Calibri" w:eastAsia="Calibri" w:hAnsi="Calibri" w:cs="Calibri"/>
              <w:color w:val="4472C4"/>
              <w:sz w:val="28"/>
              <w:szCs w:val="28"/>
            </w:rPr>
          </w:pPr>
          <w:r>
            <w:rPr>
              <w:rFonts w:ascii="Calibri" w:eastAsia="Calibri" w:hAnsi="Calibri" w:cs="Calibri"/>
              <w:color w:val="4472C4"/>
              <w:sz w:val="28"/>
              <w:szCs w:val="28"/>
            </w:rPr>
            <w:t>Guía</w:t>
          </w:r>
        </w:p>
        <w:p w14:paraId="34F75B33" w14:textId="77777777" w:rsidR="004C2238" w:rsidRDefault="006A3E1D">
          <w:pPr>
            <w:pStyle w:val="Ttulo1"/>
            <w:spacing w:before="0" w:after="160" w:line="301" w:lineRule="auto"/>
            <w:jc w:val="center"/>
            <w:rPr>
              <w:rFonts w:ascii="Calibri" w:eastAsia="Calibri" w:hAnsi="Calibri" w:cs="Calibri"/>
              <w:sz w:val="26"/>
              <w:szCs w:val="26"/>
            </w:rPr>
          </w:pPr>
          <w:bookmarkStart w:id="55" w:name="_heading=h.pff9qprdzh07" w:colFirst="0" w:colLast="0"/>
          <w:bookmarkEnd w:id="55"/>
          <w:r>
            <w:rPr>
              <w:rFonts w:ascii="Arial" w:eastAsia="Arial" w:hAnsi="Arial" w:cs="Arial"/>
              <w:color w:val="000000"/>
              <w:sz w:val="22"/>
              <w:szCs w:val="22"/>
            </w:rPr>
            <w:t xml:space="preserve">Fortalecimiento de la gestión de información territorial y catastral </w:t>
          </w:r>
        </w:p>
      </w:tc>
      <w:tc>
        <w:tcPr>
          <w:tcW w:w="1785" w:type="dxa"/>
          <w:tcBorders>
            <w:top w:val="single" w:sz="8" w:space="0" w:color="BDD7EE"/>
            <w:bottom w:val="single" w:sz="8" w:space="0" w:color="BDD7EE"/>
            <w:right w:val="single" w:sz="8" w:space="0" w:color="BDD7EE"/>
          </w:tcBorders>
          <w:tcMar>
            <w:top w:w="0" w:type="dxa"/>
            <w:left w:w="100" w:type="dxa"/>
            <w:bottom w:w="0" w:type="dxa"/>
            <w:right w:w="100" w:type="dxa"/>
          </w:tcMar>
        </w:tcPr>
        <w:p w14:paraId="10728C9F" w14:textId="77777777" w:rsidR="004C2238" w:rsidRDefault="006A3E1D">
          <w:pPr>
            <w:spacing w:after="160" w:line="252" w:lineRule="auto"/>
            <w:jc w:val="center"/>
            <w:rPr>
              <w:rFonts w:ascii="Calibri" w:eastAsia="Calibri" w:hAnsi="Calibri" w:cs="Calibri"/>
            </w:rPr>
          </w:pPr>
          <w:r>
            <w:rPr>
              <w:rFonts w:ascii="Calibri" w:eastAsia="Calibri" w:hAnsi="Calibri" w:cs="Calibri"/>
            </w:rPr>
            <w:t xml:space="preserve"> </w:t>
          </w:r>
        </w:p>
        <w:p w14:paraId="1589621E" w14:textId="77777777" w:rsidR="004C2238" w:rsidRDefault="006A3E1D">
          <w:pPr>
            <w:spacing w:after="160" w:line="252" w:lineRule="auto"/>
            <w:jc w:val="center"/>
            <w:rPr>
              <w:rFonts w:ascii="Calibri" w:eastAsia="Calibri" w:hAnsi="Calibri" w:cs="Calibri"/>
              <w:sz w:val="20"/>
              <w:szCs w:val="20"/>
            </w:rPr>
          </w:pPr>
          <w:r>
            <w:rPr>
              <w:rFonts w:ascii="Calibri" w:eastAsia="Calibri" w:hAnsi="Calibri" w:cs="Calibri"/>
              <w:sz w:val="20"/>
              <w:szCs w:val="20"/>
            </w:rPr>
            <w:t>Fecha:</w:t>
          </w:r>
        </w:p>
        <w:p w14:paraId="5285CEC5" w14:textId="66383F9C" w:rsidR="004C2238" w:rsidRDefault="00823287">
          <w:pPr>
            <w:spacing w:after="160" w:line="252" w:lineRule="auto"/>
            <w:jc w:val="center"/>
            <w:rPr>
              <w:rFonts w:ascii="Calibri" w:eastAsia="Calibri" w:hAnsi="Calibri" w:cs="Calibri"/>
              <w:sz w:val="20"/>
              <w:szCs w:val="20"/>
            </w:rPr>
          </w:pPr>
          <w:r>
            <w:rPr>
              <w:rFonts w:ascii="Calibri" w:eastAsia="Calibri" w:hAnsi="Calibri" w:cs="Calibri"/>
              <w:sz w:val="20"/>
              <w:szCs w:val="20"/>
            </w:rPr>
            <w:t>20/06/2026</w:t>
          </w:r>
        </w:p>
      </w:tc>
    </w:tr>
  </w:tbl>
  <w:p w14:paraId="0D3220C1" w14:textId="77777777" w:rsidR="004C2238" w:rsidRDefault="004C2238">
    <w:pP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401BF"/>
    <w:multiLevelType w:val="multilevel"/>
    <w:tmpl w:val="38E620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760B02"/>
    <w:multiLevelType w:val="multilevel"/>
    <w:tmpl w:val="09460A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A014570"/>
    <w:multiLevelType w:val="multilevel"/>
    <w:tmpl w:val="3F90EB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C842183"/>
    <w:multiLevelType w:val="multilevel"/>
    <w:tmpl w:val="9B1293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EE27A26"/>
    <w:multiLevelType w:val="multilevel"/>
    <w:tmpl w:val="D02CA3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F8A1CD7"/>
    <w:multiLevelType w:val="multilevel"/>
    <w:tmpl w:val="1AD269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1CC354D"/>
    <w:multiLevelType w:val="multilevel"/>
    <w:tmpl w:val="3110A6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241152EC"/>
    <w:multiLevelType w:val="multilevel"/>
    <w:tmpl w:val="EC3086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2898780A"/>
    <w:multiLevelType w:val="multilevel"/>
    <w:tmpl w:val="C59ED9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135790F"/>
    <w:multiLevelType w:val="multilevel"/>
    <w:tmpl w:val="339A0C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5C73ECC"/>
    <w:multiLevelType w:val="multilevel"/>
    <w:tmpl w:val="CB74D9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90D38F6"/>
    <w:multiLevelType w:val="multilevel"/>
    <w:tmpl w:val="ED7C57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546988321">
    <w:abstractNumId w:val="6"/>
  </w:num>
  <w:num w:numId="2" w16cid:durableId="859779956">
    <w:abstractNumId w:val="11"/>
  </w:num>
  <w:num w:numId="3" w16cid:durableId="566960842">
    <w:abstractNumId w:val="7"/>
  </w:num>
  <w:num w:numId="4" w16cid:durableId="308823074">
    <w:abstractNumId w:val="8"/>
  </w:num>
  <w:num w:numId="5" w16cid:durableId="1075276135">
    <w:abstractNumId w:val="10"/>
  </w:num>
  <w:num w:numId="6" w16cid:durableId="482889462">
    <w:abstractNumId w:val="0"/>
  </w:num>
  <w:num w:numId="7" w16cid:durableId="441071940">
    <w:abstractNumId w:val="4"/>
  </w:num>
  <w:num w:numId="8" w16cid:durableId="1031341189">
    <w:abstractNumId w:val="3"/>
  </w:num>
  <w:num w:numId="9" w16cid:durableId="1665164607">
    <w:abstractNumId w:val="1"/>
  </w:num>
  <w:num w:numId="10" w16cid:durableId="1954899088">
    <w:abstractNumId w:val="9"/>
  </w:num>
  <w:num w:numId="11" w16cid:durableId="1636717993">
    <w:abstractNumId w:val="5"/>
  </w:num>
  <w:num w:numId="12" w16cid:durableId="7329729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238"/>
    <w:rsid w:val="00047EB9"/>
    <w:rsid w:val="000A07D3"/>
    <w:rsid w:val="00390C29"/>
    <w:rsid w:val="003E112B"/>
    <w:rsid w:val="004529CD"/>
    <w:rsid w:val="004C2238"/>
    <w:rsid w:val="004C368B"/>
    <w:rsid w:val="006460B7"/>
    <w:rsid w:val="006A3E1D"/>
    <w:rsid w:val="0075079F"/>
    <w:rsid w:val="007A3190"/>
    <w:rsid w:val="007A4002"/>
    <w:rsid w:val="0081018E"/>
    <w:rsid w:val="00823287"/>
    <w:rsid w:val="00B37AB5"/>
    <w:rsid w:val="00C65FF1"/>
    <w:rsid w:val="00C81CF7"/>
    <w:rsid w:val="00D04D6B"/>
    <w:rsid w:val="00DC5CC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D3115"/>
  <w15:docId w15:val="{109AF906-4504-1F4C-A1C4-5E9661A99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CO" w:eastAsia="es-ES_trad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pPr>
    <w:rPr>
      <w:rFonts w:ascii="Play" w:eastAsia="Play" w:hAnsi="Play" w:cs="Play"/>
      <w:sz w:val="56"/>
      <w:szCs w:val="56"/>
    </w:rPr>
  </w:style>
  <w:style w:type="paragraph" w:styleId="Subttulo">
    <w:name w:val="Subtitle"/>
    <w:basedOn w:val="Normal"/>
    <w:next w:val="Normal"/>
    <w:uiPriority w:val="11"/>
    <w:qFormat/>
    <w:pPr>
      <w:spacing w:after="160"/>
    </w:pPr>
    <w:rPr>
      <w:color w:val="595959"/>
      <w:sz w:val="28"/>
      <w:szCs w:val="2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paragraph" w:styleId="Encabezado">
    <w:name w:val="header"/>
    <w:basedOn w:val="Normal"/>
    <w:link w:val="EncabezadoCar"/>
    <w:uiPriority w:val="99"/>
    <w:unhideWhenUsed/>
    <w:rsid w:val="00823287"/>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823287"/>
  </w:style>
  <w:style w:type="paragraph" w:styleId="Piedepgina">
    <w:name w:val="footer"/>
    <w:basedOn w:val="Normal"/>
    <w:link w:val="PiedepginaCar"/>
    <w:uiPriority w:val="99"/>
    <w:unhideWhenUsed/>
    <w:rsid w:val="00823287"/>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823287"/>
  </w:style>
  <w:style w:type="character" w:styleId="Nmerodepgina">
    <w:name w:val="page number"/>
    <w:basedOn w:val="Fuentedeprrafopredeter"/>
    <w:uiPriority w:val="99"/>
    <w:semiHidden/>
    <w:unhideWhenUsed/>
    <w:rsid w:val="00823287"/>
  </w:style>
  <w:style w:type="paragraph" w:styleId="TtuloTDC">
    <w:name w:val="TOC Heading"/>
    <w:basedOn w:val="Ttulo1"/>
    <w:next w:val="Normal"/>
    <w:uiPriority w:val="39"/>
    <w:unhideWhenUsed/>
    <w:qFormat/>
    <w:rsid w:val="00823287"/>
    <w:pPr>
      <w:spacing w:before="480" w:after="0"/>
      <w:outlineLvl w:val="9"/>
    </w:pPr>
    <w:rPr>
      <w:rFonts w:asciiTheme="majorHAnsi" w:eastAsiaTheme="majorEastAsia" w:hAnsiTheme="majorHAnsi" w:cstheme="majorBidi"/>
      <w:b/>
      <w:bCs/>
      <w:color w:val="365F91" w:themeColor="accent1" w:themeShade="BF"/>
      <w:sz w:val="28"/>
      <w:szCs w:val="28"/>
      <w:lang w:val="es-ES"/>
    </w:rPr>
  </w:style>
  <w:style w:type="paragraph" w:styleId="TDC1">
    <w:name w:val="toc 1"/>
    <w:basedOn w:val="Normal"/>
    <w:next w:val="Normal"/>
    <w:autoRedefine/>
    <w:uiPriority w:val="39"/>
    <w:unhideWhenUsed/>
    <w:rsid w:val="00823287"/>
    <w:pPr>
      <w:spacing w:before="120"/>
    </w:pPr>
    <w:rPr>
      <w:rFonts w:asciiTheme="minorHAnsi" w:hAnsiTheme="minorHAnsi"/>
      <w:b/>
      <w:bCs/>
      <w:i/>
      <w:iCs/>
      <w:sz w:val="24"/>
      <w:szCs w:val="24"/>
    </w:rPr>
  </w:style>
  <w:style w:type="paragraph" w:styleId="TDC2">
    <w:name w:val="toc 2"/>
    <w:basedOn w:val="Normal"/>
    <w:next w:val="Normal"/>
    <w:autoRedefine/>
    <w:uiPriority w:val="39"/>
    <w:unhideWhenUsed/>
    <w:rsid w:val="00823287"/>
    <w:pPr>
      <w:spacing w:before="120"/>
      <w:ind w:left="220"/>
    </w:pPr>
    <w:rPr>
      <w:rFonts w:asciiTheme="minorHAnsi" w:hAnsiTheme="minorHAnsi"/>
      <w:b/>
      <w:bCs/>
    </w:rPr>
  </w:style>
  <w:style w:type="character" w:styleId="Hipervnculo">
    <w:name w:val="Hyperlink"/>
    <w:basedOn w:val="Fuentedeprrafopredeter"/>
    <w:uiPriority w:val="99"/>
    <w:unhideWhenUsed/>
    <w:rsid w:val="00823287"/>
    <w:rPr>
      <w:color w:val="0000FF" w:themeColor="hyperlink"/>
      <w:u w:val="single"/>
    </w:rPr>
  </w:style>
  <w:style w:type="paragraph" w:styleId="TDC3">
    <w:name w:val="toc 3"/>
    <w:basedOn w:val="Normal"/>
    <w:next w:val="Normal"/>
    <w:autoRedefine/>
    <w:uiPriority w:val="39"/>
    <w:semiHidden/>
    <w:unhideWhenUsed/>
    <w:rsid w:val="00823287"/>
    <w:pPr>
      <w:ind w:left="440"/>
    </w:pPr>
    <w:rPr>
      <w:rFonts w:asciiTheme="minorHAnsi" w:hAnsiTheme="minorHAnsi"/>
      <w:sz w:val="20"/>
      <w:szCs w:val="20"/>
    </w:rPr>
  </w:style>
  <w:style w:type="paragraph" w:styleId="TDC4">
    <w:name w:val="toc 4"/>
    <w:basedOn w:val="Normal"/>
    <w:next w:val="Normal"/>
    <w:autoRedefine/>
    <w:uiPriority w:val="39"/>
    <w:semiHidden/>
    <w:unhideWhenUsed/>
    <w:rsid w:val="00823287"/>
    <w:pPr>
      <w:ind w:left="660"/>
    </w:pPr>
    <w:rPr>
      <w:rFonts w:asciiTheme="minorHAnsi" w:hAnsiTheme="minorHAnsi"/>
      <w:sz w:val="20"/>
      <w:szCs w:val="20"/>
    </w:rPr>
  </w:style>
  <w:style w:type="paragraph" w:styleId="TDC5">
    <w:name w:val="toc 5"/>
    <w:basedOn w:val="Normal"/>
    <w:next w:val="Normal"/>
    <w:autoRedefine/>
    <w:uiPriority w:val="39"/>
    <w:semiHidden/>
    <w:unhideWhenUsed/>
    <w:rsid w:val="00823287"/>
    <w:pPr>
      <w:ind w:left="880"/>
    </w:pPr>
    <w:rPr>
      <w:rFonts w:asciiTheme="minorHAnsi" w:hAnsiTheme="minorHAnsi"/>
      <w:sz w:val="20"/>
      <w:szCs w:val="20"/>
    </w:rPr>
  </w:style>
  <w:style w:type="paragraph" w:styleId="TDC6">
    <w:name w:val="toc 6"/>
    <w:basedOn w:val="Normal"/>
    <w:next w:val="Normal"/>
    <w:autoRedefine/>
    <w:uiPriority w:val="39"/>
    <w:semiHidden/>
    <w:unhideWhenUsed/>
    <w:rsid w:val="00823287"/>
    <w:pPr>
      <w:ind w:left="1100"/>
    </w:pPr>
    <w:rPr>
      <w:rFonts w:asciiTheme="minorHAnsi" w:hAnsiTheme="minorHAnsi"/>
      <w:sz w:val="20"/>
      <w:szCs w:val="20"/>
    </w:rPr>
  </w:style>
  <w:style w:type="paragraph" w:styleId="TDC7">
    <w:name w:val="toc 7"/>
    <w:basedOn w:val="Normal"/>
    <w:next w:val="Normal"/>
    <w:autoRedefine/>
    <w:uiPriority w:val="39"/>
    <w:semiHidden/>
    <w:unhideWhenUsed/>
    <w:rsid w:val="00823287"/>
    <w:pPr>
      <w:ind w:left="1320"/>
    </w:pPr>
    <w:rPr>
      <w:rFonts w:asciiTheme="minorHAnsi" w:hAnsiTheme="minorHAnsi"/>
      <w:sz w:val="20"/>
      <w:szCs w:val="20"/>
    </w:rPr>
  </w:style>
  <w:style w:type="paragraph" w:styleId="TDC8">
    <w:name w:val="toc 8"/>
    <w:basedOn w:val="Normal"/>
    <w:next w:val="Normal"/>
    <w:autoRedefine/>
    <w:uiPriority w:val="39"/>
    <w:semiHidden/>
    <w:unhideWhenUsed/>
    <w:rsid w:val="00823287"/>
    <w:pPr>
      <w:ind w:left="1540"/>
    </w:pPr>
    <w:rPr>
      <w:rFonts w:asciiTheme="minorHAnsi" w:hAnsiTheme="minorHAnsi"/>
      <w:sz w:val="20"/>
      <w:szCs w:val="20"/>
    </w:rPr>
  </w:style>
  <w:style w:type="paragraph" w:styleId="TDC9">
    <w:name w:val="toc 9"/>
    <w:basedOn w:val="Normal"/>
    <w:next w:val="Normal"/>
    <w:autoRedefine/>
    <w:uiPriority w:val="39"/>
    <w:semiHidden/>
    <w:unhideWhenUsed/>
    <w:rsid w:val="00823287"/>
    <w:pPr>
      <w:ind w:left="176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tq+ahfLSMUv263r/1g5DKTEdmA==">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</go:docsCustomData>
</go:gDocsCustomXmlDataStorage>
</file>

<file path=customXml/itemProps1.xml><?xml version="1.0" encoding="utf-8"?>
<ds:datastoreItem xmlns:ds="http://schemas.openxmlformats.org/officeDocument/2006/customXml" ds:itemID="{3108EE6C-7879-D74F-93AB-CC593774089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3949</Words>
  <Characters>23067</Characters>
  <Application>Microsoft Office Word</Application>
  <DocSecurity>0</DocSecurity>
  <Lines>699</Lines>
  <Paragraphs>219</Paragraphs>
  <ScaleCrop>false</ScaleCrop>
  <Company/>
  <LinksUpToDate>false</LinksUpToDate>
  <CharactersWithSpaces>26797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Hans Saenz</cp:lastModifiedBy>
  <cp:revision>11</cp:revision>
  <dcterms:created xsi:type="dcterms:W3CDTF">2026-06-30T14:41:00Z</dcterms:created>
  <dcterms:modified xsi:type="dcterms:W3CDTF">2026-07-01T19:48:00Z</dcterms:modified>
</cp:coreProperties>
</file>