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17C2E29" w:rsidR="0036083F" w:rsidRDefault="0011228F">
      <w:pPr>
        <w:jc w:val="center"/>
        <w:rPr>
          <w:rFonts w:ascii="Arial" w:eastAsia="Arial" w:hAnsi="Arial" w:cs="Arial"/>
          <w:b/>
          <w:bCs/>
        </w:rPr>
      </w:pPr>
      <w:r>
        <w:rPr>
          <w:rFonts w:ascii="Arial" w:eastAsia="Arial" w:hAnsi="Arial" w:cs="Arial"/>
          <w:b/>
          <w:bCs/>
        </w:rPr>
        <w:t xml:space="preserve">MODELO ACUERDO TIPO PARA LA OFICIALIZACIÓN DE LA NOMENCLATURA VIAL Y DOMICILIARIA MUNICIPAL </w:t>
      </w:r>
    </w:p>
    <w:p w14:paraId="00000002" w14:textId="77777777" w:rsidR="0036083F" w:rsidRDefault="0011228F">
      <w:pPr>
        <w:numPr>
          <w:ilvl w:val="0"/>
          <w:numId w:val="7"/>
        </w:numPr>
        <w:spacing w:before="280" w:after="280" w:line="240" w:lineRule="auto"/>
        <w:jc w:val="both"/>
        <w:rPr>
          <w:rFonts w:ascii="Arial" w:eastAsia="Arial" w:hAnsi="Arial" w:cs="Arial"/>
          <w:b/>
          <w:bCs/>
        </w:rPr>
      </w:pPr>
      <w:r>
        <w:rPr>
          <w:rFonts w:ascii="Arial" w:eastAsia="Arial" w:hAnsi="Arial" w:cs="Arial"/>
          <w:b/>
          <w:bCs/>
        </w:rPr>
        <w:t xml:space="preserve">Contexto para la creación de un modelo tipo   </w:t>
      </w:r>
    </w:p>
    <w:p w14:paraId="00000003" w14:textId="33389701" w:rsidR="0036083F" w:rsidRDefault="0011228F">
      <w:pPr>
        <w:spacing w:before="280" w:after="280" w:line="240" w:lineRule="auto"/>
        <w:jc w:val="both"/>
        <w:rPr>
          <w:rFonts w:ascii="Arial" w:eastAsia="Arial" w:hAnsi="Arial" w:cs="Arial"/>
        </w:rPr>
      </w:pPr>
      <w:r>
        <w:rPr>
          <w:rFonts w:ascii="Arial" w:eastAsia="Arial" w:hAnsi="Arial" w:cs="Arial"/>
        </w:rPr>
        <w:t>La nomenclatur</w:t>
      </w:r>
      <w:r w:rsidR="00181D96">
        <w:rPr>
          <w:rFonts w:ascii="Arial" w:eastAsia="Arial" w:hAnsi="Arial" w:cs="Arial"/>
        </w:rPr>
        <w:t>a</w:t>
      </w:r>
      <w:r>
        <w:rPr>
          <w:rFonts w:ascii="Arial" w:eastAsia="Arial" w:hAnsi="Arial" w:cs="Arial"/>
        </w:rPr>
        <w:t xml:space="preserve"> vial y domiciliaria constituye un instrumento esencial para la identificación oficial de la infraestructura urbana y de los predios, </w:t>
      </w:r>
      <w:proofErr w:type="gramStart"/>
      <w:r>
        <w:rPr>
          <w:rFonts w:ascii="Arial" w:eastAsia="Arial" w:hAnsi="Arial" w:cs="Arial"/>
        </w:rPr>
        <w:t>y</w:t>
      </w:r>
      <w:proofErr w:type="gramEnd"/>
      <w:r>
        <w:rPr>
          <w:rFonts w:ascii="Arial" w:eastAsia="Arial" w:hAnsi="Arial" w:cs="Arial"/>
        </w:rPr>
        <w:t xml:space="preserve"> en consecuencia, para la gestión administrativa, catastral, territorial y de servicios públicos dentro de los municipios. Su adecuada estructuración permite la localización precisa de inmuebles, la prestación eficiente de servicios y la interoperabilidad entre sistemas institucionales. </w:t>
      </w:r>
    </w:p>
    <w:p w14:paraId="00000004" w14:textId="702ACD6E" w:rsidR="0036083F" w:rsidRDefault="0011228F">
      <w:pPr>
        <w:spacing w:before="280" w:after="280" w:line="240" w:lineRule="auto"/>
        <w:jc w:val="both"/>
        <w:rPr>
          <w:rFonts w:ascii="Arial" w:eastAsia="Arial" w:hAnsi="Arial" w:cs="Arial"/>
        </w:rPr>
      </w:pPr>
      <w:r>
        <w:rPr>
          <w:rFonts w:ascii="Arial" w:eastAsia="Arial" w:hAnsi="Arial" w:cs="Arial"/>
        </w:rPr>
        <w:t xml:space="preserve">Históricamente en Colombia, se adoptó un modelo de nomenclatura inspirado en </w:t>
      </w:r>
      <w:r w:rsidR="00D357F8">
        <w:rPr>
          <w:rFonts w:ascii="Arial" w:eastAsia="Arial" w:hAnsi="Arial" w:cs="Arial"/>
        </w:rPr>
        <w:t>la cuadrícula</w:t>
      </w:r>
      <w:r>
        <w:rPr>
          <w:rFonts w:ascii="Arial" w:eastAsia="Arial" w:hAnsi="Arial" w:cs="Arial"/>
        </w:rPr>
        <w:t xml:space="preserve"> urbana de origen español. En este esquema, las calles se orientaban en sentido oriente-occidente y las carreras en sentido norte-sur, con el uso de diagonales y transversales como soluciones para adaptarse a variaciones topográficas o urbanas.</w:t>
      </w:r>
    </w:p>
    <w:p w14:paraId="00000005" w14:textId="77777777" w:rsidR="0036083F" w:rsidRDefault="0011228F">
      <w:pPr>
        <w:spacing w:before="280" w:after="280" w:line="240" w:lineRule="auto"/>
        <w:jc w:val="both"/>
        <w:rPr>
          <w:rFonts w:ascii="Arial" w:eastAsia="Arial" w:hAnsi="Arial" w:cs="Arial"/>
        </w:rPr>
      </w:pPr>
      <w:r>
        <w:rPr>
          <w:rFonts w:ascii="Arial" w:eastAsia="Arial" w:hAnsi="Arial" w:cs="Arial"/>
        </w:rPr>
        <w:t>Aunque este modelo resultó útil como marco de referencia inicial, no logró adaptarse plenamente a la diversidad territorial, urbana y cultural de los municipios colombianos, con el tiempo, se evidenció que en muchos municipios la orientación real de las vías (calles, carreras), difería de la estructura ideal, debido a factores como decisiones de planeación especifica, procesos de urbanización espontánea o condiciones geográficas particulares. En regiones andinas y de montaña, por ejemplo, la topografía y la orografía impidieron la aplicación estricta de una cuadrícula, dando lugar a la adopción de soluciones locales, ajustes operativos y sistemas de numeración adaptados que no siempre contaban con respaldo normativo ni técnico.</w:t>
      </w:r>
    </w:p>
    <w:p w14:paraId="00000006" w14:textId="77777777" w:rsidR="0036083F" w:rsidRDefault="0011228F">
      <w:pPr>
        <w:spacing w:before="280" w:after="280" w:line="240" w:lineRule="auto"/>
        <w:jc w:val="both"/>
        <w:rPr>
          <w:rFonts w:ascii="Arial" w:eastAsia="Arial" w:hAnsi="Arial" w:cs="Arial"/>
        </w:rPr>
      </w:pPr>
      <w:r>
        <w:rPr>
          <w:rFonts w:ascii="Arial" w:eastAsia="Arial" w:hAnsi="Arial" w:cs="Arial"/>
        </w:rPr>
        <w:t xml:space="preserve">Además, surgieron múltiples desafíos prácticos: variaciones en la disposición de la numeración, uso inconsistente de cuadrantes cardinales, coexistencia de nomenclaturas tradicionales y nuevas, y ausencia de criterios comunes para la asignación, ajuste o certificación de direcciones. </w:t>
      </w:r>
    </w:p>
    <w:p w14:paraId="00000007" w14:textId="32863EA1" w:rsidR="0036083F" w:rsidRDefault="0011228F">
      <w:pPr>
        <w:spacing w:before="280" w:after="280" w:line="240" w:lineRule="auto"/>
        <w:jc w:val="both"/>
        <w:rPr>
          <w:rFonts w:ascii="Arial" w:eastAsia="Arial" w:hAnsi="Arial" w:cs="Arial"/>
        </w:rPr>
      </w:pPr>
      <w:r>
        <w:rPr>
          <w:rFonts w:ascii="Arial" w:eastAsia="Arial" w:hAnsi="Arial" w:cs="Arial"/>
        </w:rPr>
        <w:t xml:space="preserve">Ante este panorama, entidades como </w:t>
      </w:r>
      <w:r w:rsidR="00D357F8">
        <w:rPr>
          <w:rFonts w:ascii="Arial" w:eastAsia="Arial" w:hAnsi="Arial" w:cs="Arial"/>
        </w:rPr>
        <w:t>el Instituto</w:t>
      </w:r>
      <w:r>
        <w:rPr>
          <w:rFonts w:ascii="Arial" w:eastAsia="Arial" w:hAnsi="Arial" w:cs="Arial"/>
        </w:rPr>
        <w:t xml:space="preserve"> Geográfico </w:t>
      </w:r>
      <w:r w:rsidR="00D357F8">
        <w:rPr>
          <w:rFonts w:ascii="Arial" w:eastAsia="Arial" w:hAnsi="Arial" w:cs="Arial"/>
        </w:rPr>
        <w:t>Agustín</w:t>
      </w:r>
      <w:r>
        <w:rPr>
          <w:rFonts w:ascii="Arial" w:eastAsia="Arial" w:hAnsi="Arial" w:cs="Arial"/>
        </w:rPr>
        <w:t xml:space="preserve"> Codazzi (IGAC), el Ministerio de Tecnologías de la Información y las </w:t>
      </w:r>
      <w:r w:rsidR="00D357F8">
        <w:rPr>
          <w:rFonts w:ascii="Arial" w:eastAsia="Arial" w:hAnsi="Arial" w:cs="Arial"/>
        </w:rPr>
        <w:t>Comunicaciones (</w:t>
      </w:r>
      <w:r>
        <w:rPr>
          <w:rFonts w:ascii="Arial" w:eastAsia="Arial" w:hAnsi="Arial" w:cs="Arial"/>
        </w:rPr>
        <w:t>Min TIC) y el Ministerio de Educación Nacional, han reconocido la necesidad de flexibilizar el modelo técnico tradicional promoviendo la convivencia de diferentes formas de nomenclatura en transición, siempre que estas apunten a una descripción alfanumérica coherente con la estructura vial real.</w:t>
      </w:r>
    </w:p>
    <w:p w14:paraId="00000008" w14:textId="77777777" w:rsidR="0036083F" w:rsidRDefault="0011228F">
      <w:pPr>
        <w:spacing w:before="280" w:after="280" w:line="240" w:lineRule="auto"/>
        <w:jc w:val="both"/>
        <w:rPr>
          <w:rFonts w:ascii="Arial" w:eastAsia="Arial" w:hAnsi="Arial" w:cs="Arial"/>
        </w:rPr>
      </w:pPr>
      <w:r>
        <w:rPr>
          <w:rFonts w:ascii="Arial" w:eastAsia="Arial" w:hAnsi="Arial" w:cs="Arial"/>
        </w:rPr>
        <w:t>En este contexto, se hace necesario que los municipios cuenten con instrumentos jurídicos y técnicos actualizados, tales como manuales y actos administrativos tipo, que les permitan orientar sus actuaciones administrativas dirigidas a:</w:t>
      </w:r>
    </w:p>
    <w:p w14:paraId="00000009" w14:textId="77777777" w:rsidR="0036083F" w:rsidRDefault="0036083F">
      <w:pPr>
        <w:spacing w:before="280" w:after="280" w:line="240" w:lineRule="auto"/>
        <w:jc w:val="both"/>
        <w:rPr>
          <w:rFonts w:ascii="Arial" w:eastAsia="Arial" w:hAnsi="Arial" w:cs="Arial"/>
        </w:rPr>
      </w:pPr>
    </w:p>
    <w:p w14:paraId="0000000A" w14:textId="77777777" w:rsidR="0036083F" w:rsidRDefault="0011228F">
      <w:pPr>
        <w:numPr>
          <w:ilvl w:val="0"/>
          <w:numId w:val="20"/>
        </w:numPr>
        <w:spacing w:before="280" w:after="0" w:line="240" w:lineRule="auto"/>
        <w:jc w:val="both"/>
        <w:rPr>
          <w:rFonts w:ascii="Arial" w:eastAsia="Arial" w:hAnsi="Arial" w:cs="Arial"/>
        </w:rPr>
      </w:pPr>
      <w:r>
        <w:rPr>
          <w:rFonts w:ascii="Arial" w:eastAsia="Arial" w:hAnsi="Arial" w:cs="Arial"/>
        </w:rPr>
        <w:lastRenderedPageBreak/>
        <w:t>Reconocer y validar la nomenclatura existente.</w:t>
      </w:r>
    </w:p>
    <w:p w14:paraId="0000000B" w14:textId="77777777" w:rsidR="0036083F" w:rsidRDefault="0011228F">
      <w:pPr>
        <w:numPr>
          <w:ilvl w:val="0"/>
          <w:numId w:val="20"/>
        </w:numPr>
        <w:spacing w:after="0" w:line="240" w:lineRule="auto"/>
        <w:jc w:val="both"/>
        <w:rPr>
          <w:rFonts w:ascii="Arial" w:eastAsia="Arial" w:hAnsi="Arial" w:cs="Arial"/>
        </w:rPr>
      </w:pPr>
      <w:r>
        <w:rPr>
          <w:rFonts w:ascii="Arial" w:eastAsia="Arial" w:hAnsi="Arial" w:cs="Arial"/>
        </w:rPr>
        <w:t>Ajustar y complementar su sistema según las condiciones locales.</w:t>
      </w:r>
    </w:p>
    <w:p w14:paraId="0000000C" w14:textId="77777777" w:rsidR="0036083F" w:rsidRDefault="0011228F">
      <w:pPr>
        <w:numPr>
          <w:ilvl w:val="0"/>
          <w:numId w:val="20"/>
        </w:numPr>
        <w:spacing w:after="0" w:line="240" w:lineRule="auto"/>
        <w:jc w:val="both"/>
        <w:rPr>
          <w:rFonts w:ascii="Arial" w:eastAsia="Arial" w:hAnsi="Arial" w:cs="Arial"/>
        </w:rPr>
      </w:pPr>
      <w:r>
        <w:rPr>
          <w:rFonts w:ascii="Arial" w:eastAsia="Arial" w:hAnsi="Arial" w:cs="Arial"/>
        </w:rPr>
        <w:t>Incorporar herramientas técnicas e institucionales para su gestión.</w:t>
      </w:r>
    </w:p>
    <w:p w14:paraId="0000000D" w14:textId="77777777" w:rsidR="0036083F" w:rsidRDefault="0011228F">
      <w:pPr>
        <w:numPr>
          <w:ilvl w:val="0"/>
          <w:numId w:val="20"/>
        </w:numPr>
        <w:spacing w:after="0" w:line="240" w:lineRule="auto"/>
        <w:jc w:val="both"/>
        <w:rPr>
          <w:rFonts w:ascii="Arial" w:eastAsia="Arial" w:hAnsi="Arial" w:cs="Arial"/>
        </w:rPr>
      </w:pPr>
      <w:r>
        <w:rPr>
          <w:rFonts w:ascii="Arial" w:eastAsia="Arial" w:hAnsi="Arial" w:cs="Arial"/>
        </w:rPr>
        <w:t>Fortalecer la oficialidad, trazabilidad e interoperabilidad de la información.</w:t>
      </w:r>
    </w:p>
    <w:p w14:paraId="0000000E" w14:textId="77777777" w:rsidR="0036083F" w:rsidRDefault="0011228F">
      <w:pPr>
        <w:numPr>
          <w:ilvl w:val="0"/>
          <w:numId w:val="20"/>
        </w:numPr>
        <w:spacing w:after="280" w:line="240" w:lineRule="auto"/>
        <w:jc w:val="both"/>
        <w:rPr>
          <w:rFonts w:ascii="Arial" w:eastAsia="Arial" w:hAnsi="Arial" w:cs="Arial"/>
        </w:rPr>
      </w:pPr>
      <w:r>
        <w:rPr>
          <w:rFonts w:ascii="Arial" w:eastAsia="Arial" w:hAnsi="Arial" w:cs="Arial"/>
        </w:rPr>
        <w:t>Garantizar el acceso ciudadano y mejorar la calidad en la prestación de servicios públicos, navegación, atención de emergencias y ordenamiento territorial.</w:t>
      </w:r>
    </w:p>
    <w:p w14:paraId="0000000F" w14:textId="77777777" w:rsidR="0036083F" w:rsidRDefault="0011228F">
      <w:pPr>
        <w:numPr>
          <w:ilvl w:val="0"/>
          <w:numId w:val="7"/>
        </w:numPr>
        <w:spacing w:before="280" w:after="280" w:line="240" w:lineRule="auto"/>
        <w:jc w:val="both"/>
        <w:rPr>
          <w:rFonts w:ascii="Arial" w:eastAsia="Arial" w:hAnsi="Arial" w:cs="Arial"/>
          <w:b/>
          <w:bCs/>
        </w:rPr>
      </w:pPr>
      <w:r>
        <w:rPr>
          <w:rFonts w:ascii="Arial" w:eastAsia="Arial" w:hAnsi="Arial" w:cs="Arial"/>
          <w:b/>
          <w:bCs/>
        </w:rPr>
        <w:t>Justificación y conveniencia de la adopción del Modelo Normativo Tipo</w:t>
      </w:r>
    </w:p>
    <w:p w14:paraId="00000010" w14:textId="77777777" w:rsidR="0036083F" w:rsidRDefault="0011228F">
      <w:pPr>
        <w:spacing w:before="280" w:after="280" w:line="240" w:lineRule="auto"/>
        <w:jc w:val="both"/>
        <w:rPr>
          <w:rFonts w:ascii="Arial" w:eastAsia="Arial" w:hAnsi="Arial" w:cs="Arial"/>
        </w:rPr>
      </w:pPr>
      <w:r>
        <w:rPr>
          <w:rFonts w:ascii="Arial" w:eastAsia="Arial" w:hAnsi="Arial" w:cs="Arial"/>
        </w:rPr>
        <w:t>El modelo normativo tipo, surge de la necesidad de dotar a los municipios de un marco jurídico y técnico actualizado que oriente sus actuaciones en esta materia. Esta herramienta no impone un modelo único, sino que propone una estructura flexible, replicable y técnicamente sólida, que permite a cada entidad territorial consolidar su sistema de nomenclatura conforme a su realidad territorial y a sus capacidades institucionales.</w:t>
      </w:r>
    </w:p>
    <w:p w14:paraId="00000011" w14:textId="77777777" w:rsidR="0036083F" w:rsidRDefault="0011228F">
      <w:pPr>
        <w:spacing w:before="280" w:after="280" w:line="240" w:lineRule="auto"/>
        <w:jc w:val="both"/>
        <w:rPr>
          <w:rFonts w:ascii="Arial" w:eastAsia="Arial" w:hAnsi="Arial" w:cs="Arial"/>
        </w:rPr>
      </w:pPr>
      <w:r>
        <w:rPr>
          <w:rFonts w:ascii="Arial" w:eastAsia="Arial" w:hAnsi="Arial" w:cs="Arial"/>
        </w:rPr>
        <w:t xml:space="preserve">El presente documento constituye un </w:t>
      </w:r>
      <w:r>
        <w:rPr>
          <w:rFonts w:ascii="Arial" w:eastAsia="Arial" w:hAnsi="Arial" w:cs="Arial"/>
          <w:b/>
          <w:bCs/>
        </w:rPr>
        <w:t>modelo normativo tipo</w:t>
      </w:r>
      <w:r>
        <w:rPr>
          <w:rFonts w:ascii="Arial" w:eastAsia="Arial" w:hAnsi="Arial" w:cs="Arial"/>
        </w:rPr>
        <w:t xml:space="preserve"> para la adopción, reglamentación y gestión de la nomenclatura vial y domiciliaria en municipios del país. Su propósito es ofrecer una estructura jurídica, técnica e institucional clara, replicable y adaptable, que permita a las entidades territoriales organizar de manera oficial, única y trazable la identificación de vías y predios dentro del perímetro urbano.</w:t>
      </w:r>
    </w:p>
    <w:p w14:paraId="00000012" w14:textId="780F1D75" w:rsidR="0036083F" w:rsidRDefault="0011228F">
      <w:pPr>
        <w:spacing w:before="280" w:after="280" w:line="240" w:lineRule="auto"/>
        <w:jc w:val="both"/>
        <w:rPr>
          <w:rFonts w:ascii="Arial" w:eastAsia="Arial" w:hAnsi="Arial" w:cs="Arial"/>
        </w:rPr>
      </w:pPr>
      <w:r>
        <w:rPr>
          <w:rFonts w:ascii="Arial" w:eastAsia="Arial" w:hAnsi="Arial" w:cs="Arial"/>
        </w:rPr>
        <w:t xml:space="preserve">Este </w:t>
      </w:r>
      <w:r w:rsidR="00A315B4">
        <w:rPr>
          <w:rFonts w:ascii="Arial" w:eastAsia="Arial" w:hAnsi="Arial" w:cs="Arial"/>
        </w:rPr>
        <w:t>modelo de acuerdo</w:t>
      </w:r>
      <w:r>
        <w:rPr>
          <w:rFonts w:ascii="Arial" w:eastAsia="Arial" w:hAnsi="Arial" w:cs="Arial"/>
        </w:rPr>
        <w:t xml:space="preserve"> tipo ha sido diseñado para facilitar la implementación progresiva de sistemas de nomenclatura que respondan a las realidades locales, respetando los principios </w:t>
      </w:r>
      <w:r w:rsidR="00480BB4">
        <w:rPr>
          <w:rFonts w:ascii="Arial" w:eastAsia="Arial" w:hAnsi="Arial" w:cs="Arial"/>
        </w:rPr>
        <w:t>rectores contenidos en el artículo cuarto</w:t>
      </w:r>
      <w:r>
        <w:rPr>
          <w:rFonts w:ascii="Arial" w:eastAsia="Arial" w:hAnsi="Arial" w:cs="Arial"/>
        </w:rPr>
        <w:t>. Su contenido se estructura en nueve capítulos que abordan desde el objeto y alcance de la norma, hasta los mecanismos de asignación, certificación, materialización en campo y disposición pública de la información.</w:t>
      </w:r>
    </w:p>
    <w:p w14:paraId="00000013" w14:textId="77777777" w:rsidR="0036083F" w:rsidRDefault="0011228F">
      <w:pPr>
        <w:spacing w:before="280" w:after="280" w:line="240" w:lineRule="auto"/>
        <w:jc w:val="both"/>
        <w:rPr>
          <w:rFonts w:ascii="Arial" w:eastAsia="Arial" w:hAnsi="Arial" w:cs="Arial"/>
        </w:rPr>
      </w:pPr>
      <w:r>
        <w:rPr>
          <w:rFonts w:ascii="Arial" w:eastAsia="Arial" w:hAnsi="Arial" w:cs="Arial"/>
        </w:rPr>
        <w:t>Cada capítulo incorpora definiciones, criterios técnicos y responsabilidades institucionales que orientan la acción municipal, permitiendo articular la nomenclatura con procesos de planeación, gestión catastral, prestación de servicios públicos y participación ciudadana. Igualmente se incluyen recomendaciones específicas para:</w:t>
      </w:r>
    </w:p>
    <w:p w14:paraId="00000014" w14:textId="6C0AA0D8" w:rsidR="0036083F" w:rsidRDefault="0011228F">
      <w:pPr>
        <w:numPr>
          <w:ilvl w:val="0"/>
          <w:numId w:val="24"/>
        </w:numPr>
        <w:spacing w:before="280" w:after="0" w:line="240" w:lineRule="auto"/>
        <w:jc w:val="both"/>
        <w:rPr>
          <w:rFonts w:ascii="Arial" w:eastAsia="Arial" w:hAnsi="Arial" w:cs="Arial"/>
        </w:rPr>
      </w:pPr>
      <w:r>
        <w:rPr>
          <w:rFonts w:ascii="Arial" w:eastAsia="Arial" w:hAnsi="Arial" w:cs="Arial"/>
        </w:rPr>
        <w:t xml:space="preserve">La delimitación de </w:t>
      </w:r>
      <w:r w:rsidR="00540A42">
        <w:rPr>
          <w:rFonts w:ascii="Arial" w:eastAsia="Arial" w:hAnsi="Arial" w:cs="Arial"/>
        </w:rPr>
        <w:t>Z</w:t>
      </w:r>
      <w:r>
        <w:rPr>
          <w:rFonts w:ascii="Arial" w:eastAsia="Arial" w:hAnsi="Arial" w:cs="Arial"/>
        </w:rPr>
        <w:t xml:space="preserve">onas </w:t>
      </w:r>
      <w:r w:rsidR="00540A42">
        <w:rPr>
          <w:rFonts w:ascii="Arial" w:eastAsia="Arial" w:hAnsi="Arial" w:cs="Arial"/>
        </w:rPr>
        <w:t>U</w:t>
      </w:r>
      <w:r>
        <w:rPr>
          <w:rFonts w:ascii="Arial" w:eastAsia="Arial" w:hAnsi="Arial" w:cs="Arial"/>
        </w:rPr>
        <w:t xml:space="preserve">nificadas de </w:t>
      </w:r>
      <w:r w:rsidR="00540A42">
        <w:rPr>
          <w:rFonts w:ascii="Arial" w:eastAsia="Arial" w:hAnsi="Arial" w:cs="Arial"/>
        </w:rPr>
        <w:t>N</w:t>
      </w:r>
      <w:r>
        <w:rPr>
          <w:rFonts w:ascii="Arial" w:eastAsia="Arial" w:hAnsi="Arial" w:cs="Arial"/>
        </w:rPr>
        <w:t xml:space="preserve">omenclatura </w:t>
      </w:r>
      <w:r w:rsidR="00540A42">
        <w:rPr>
          <w:rFonts w:ascii="Arial" w:eastAsia="Arial" w:hAnsi="Arial" w:cs="Arial"/>
        </w:rPr>
        <w:t>U</w:t>
      </w:r>
      <w:r>
        <w:rPr>
          <w:rFonts w:ascii="Arial" w:eastAsia="Arial" w:hAnsi="Arial" w:cs="Arial"/>
        </w:rPr>
        <w:t>rbana (ZUNU).</w:t>
      </w:r>
    </w:p>
    <w:p w14:paraId="00000015" w14:textId="77777777" w:rsidR="0036083F" w:rsidRDefault="0011228F">
      <w:pPr>
        <w:numPr>
          <w:ilvl w:val="0"/>
          <w:numId w:val="24"/>
        </w:numPr>
        <w:spacing w:after="0" w:line="240" w:lineRule="auto"/>
        <w:jc w:val="both"/>
        <w:rPr>
          <w:rFonts w:ascii="Arial" w:eastAsia="Arial" w:hAnsi="Arial" w:cs="Arial"/>
        </w:rPr>
      </w:pPr>
      <w:r>
        <w:rPr>
          <w:rFonts w:ascii="Arial" w:eastAsia="Arial" w:hAnsi="Arial" w:cs="Arial"/>
        </w:rPr>
        <w:t>La adopción de modelos técnicos de asignación de direcciones.</w:t>
      </w:r>
    </w:p>
    <w:p w14:paraId="00000016" w14:textId="77777777" w:rsidR="0036083F" w:rsidRDefault="0011228F">
      <w:pPr>
        <w:numPr>
          <w:ilvl w:val="0"/>
          <w:numId w:val="24"/>
        </w:numPr>
        <w:spacing w:after="280" w:line="240" w:lineRule="auto"/>
        <w:jc w:val="both"/>
        <w:rPr>
          <w:rFonts w:ascii="Arial" w:eastAsia="Arial" w:hAnsi="Arial" w:cs="Arial"/>
        </w:rPr>
      </w:pPr>
      <w:r>
        <w:rPr>
          <w:rFonts w:ascii="Arial" w:eastAsia="Arial" w:hAnsi="Arial" w:cs="Arial"/>
        </w:rPr>
        <w:t>La instalación de elementos físicos de identificación conforme a estándares nacionales e internacionales.</w:t>
      </w:r>
    </w:p>
    <w:p w14:paraId="00000017" w14:textId="77777777" w:rsidR="0036083F" w:rsidRDefault="0036083F">
      <w:pPr>
        <w:spacing w:before="280" w:after="280" w:line="240" w:lineRule="auto"/>
        <w:ind w:left="720"/>
        <w:jc w:val="both"/>
        <w:rPr>
          <w:rFonts w:ascii="Arial" w:eastAsia="Arial" w:hAnsi="Arial" w:cs="Arial"/>
        </w:rPr>
      </w:pPr>
    </w:p>
    <w:p w14:paraId="00000018" w14:textId="77777777" w:rsidR="0036083F" w:rsidRDefault="0036083F">
      <w:pPr>
        <w:spacing w:before="280" w:after="280" w:line="240" w:lineRule="auto"/>
        <w:ind w:left="720"/>
        <w:jc w:val="both"/>
        <w:rPr>
          <w:rFonts w:ascii="Arial" w:eastAsia="Arial" w:hAnsi="Arial" w:cs="Arial"/>
        </w:rPr>
      </w:pPr>
    </w:p>
    <w:p w14:paraId="00000019" w14:textId="3DFE154A" w:rsidR="0036083F" w:rsidRDefault="0011228F">
      <w:pPr>
        <w:spacing w:before="280" w:after="280" w:line="240" w:lineRule="auto"/>
        <w:jc w:val="both"/>
        <w:rPr>
          <w:rFonts w:ascii="Arial" w:eastAsia="Arial" w:hAnsi="Arial" w:cs="Arial"/>
          <w:b/>
          <w:bCs/>
        </w:rPr>
      </w:pPr>
      <w:r>
        <w:rPr>
          <w:rFonts w:ascii="Arial" w:eastAsia="Arial" w:hAnsi="Arial" w:cs="Arial"/>
          <w:b/>
          <w:bCs/>
        </w:rPr>
        <w:lastRenderedPageBreak/>
        <w:t>Recomendaciones para su uso y adopción</w:t>
      </w:r>
      <w:r w:rsidR="00D357F8">
        <w:rPr>
          <w:rFonts w:ascii="Arial" w:eastAsia="Arial" w:hAnsi="Arial" w:cs="Arial"/>
          <w:b/>
          <w:bCs/>
        </w:rPr>
        <w:t>:</w:t>
      </w:r>
    </w:p>
    <w:p w14:paraId="049A4FAD" w14:textId="084D11F1" w:rsidR="00A42F8B" w:rsidRDefault="00D357F8" w:rsidP="00A42F8B">
      <w:pPr>
        <w:numPr>
          <w:ilvl w:val="0"/>
          <w:numId w:val="18"/>
        </w:numPr>
        <w:spacing w:before="280" w:after="0" w:line="240" w:lineRule="auto"/>
        <w:ind w:left="714" w:hanging="357"/>
        <w:jc w:val="both"/>
        <w:rPr>
          <w:rFonts w:ascii="Play" w:eastAsia="Play" w:hAnsi="Play" w:cs="Play"/>
        </w:rPr>
      </w:pPr>
      <w:r>
        <w:rPr>
          <w:rFonts w:ascii="Arial" w:eastAsia="Arial" w:hAnsi="Arial" w:cs="Arial"/>
          <w:b/>
          <w:bCs/>
        </w:rPr>
        <w:t>Adaptación contextual:</w:t>
      </w:r>
      <w:r>
        <w:rPr>
          <w:rFonts w:ascii="Arial" w:eastAsia="Arial" w:hAnsi="Arial" w:cs="Arial"/>
        </w:rPr>
        <w:t xml:space="preserve"> Se recomienda ajustar los nombres de dependencias, referencias cartográficas y procedimientos conforme a la estructura administrativa y técnica de cada municipio.</w:t>
      </w:r>
    </w:p>
    <w:p w14:paraId="5274F482" w14:textId="77777777" w:rsidR="00A42F8B" w:rsidRPr="00A42F8B" w:rsidRDefault="00A42F8B" w:rsidP="00EC07A8">
      <w:pPr>
        <w:spacing w:before="280" w:after="0" w:line="240" w:lineRule="auto"/>
        <w:ind w:left="714"/>
        <w:jc w:val="both"/>
        <w:rPr>
          <w:rFonts w:ascii="Play" w:eastAsia="Play" w:hAnsi="Play" w:cs="Play"/>
        </w:rPr>
      </w:pPr>
    </w:p>
    <w:p w14:paraId="0000001C" w14:textId="77777777" w:rsidR="0036083F" w:rsidRDefault="0011228F" w:rsidP="00D357F8">
      <w:pPr>
        <w:numPr>
          <w:ilvl w:val="0"/>
          <w:numId w:val="18"/>
        </w:numPr>
        <w:spacing w:after="0" w:line="240" w:lineRule="auto"/>
        <w:ind w:left="714" w:hanging="357"/>
        <w:jc w:val="both"/>
        <w:rPr>
          <w:rFonts w:ascii="Play" w:eastAsia="Play" w:hAnsi="Play" w:cs="Play"/>
        </w:rPr>
      </w:pPr>
      <w:r>
        <w:rPr>
          <w:rFonts w:ascii="Arial" w:eastAsia="Arial" w:hAnsi="Arial" w:cs="Arial"/>
          <w:b/>
          <w:bCs/>
        </w:rPr>
        <w:t>Validación técnica previa:</w:t>
      </w:r>
      <w:r>
        <w:rPr>
          <w:rFonts w:ascii="Arial" w:eastAsia="Arial" w:hAnsi="Arial" w:cs="Arial"/>
        </w:rPr>
        <w:t xml:space="preserve"> Antes de su adopción, se sugiere realizar una revisión técnica del modelo de nomenclatura vigente, la malla vial oficial y los centros poblados que requieren gestión de nomenclatura.</w:t>
      </w:r>
    </w:p>
    <w:p w14:paraId="0000001D" w14:textId="77777777" w:rsidR="0036083F" w:rsidRDefault="0036083F" w:rsidP="00D357F8">
      <w:pPr>
        <w:spacing w:after="0" w:line="240" w:lineRule="auto"/>
        <w:ind w:left="720"/>
        <w:jc w:val="both"/>
        <w:rPr>
          <w:rFonts w:ascii="Arial" w:eastAsia="Arial" w:hAnsi="Arial" w:cs="Arial"/>
        </w:rPr>
      </w:pPr>
    </w:p>
    <w:p w14:paraId="0000001E" w14:textId="77777777" w:rsidR="0036083F" w:rsidRDefault="0011228F" w:rsidP="00D357F8">
      <w:pPr>
        <w:numPr>
          <w:ilvl w:val="0"/>
          <w:numId w:val="18"/>
        </w:numPr>
        <w:spacing w:after="0" w:line="240" w:lineRule="auto"/>
        <w:jc w:val="both"/>
        <w:rPr>
          <w:rFonts w:ascii="Play" w:eastAsia="Play" w:hAnsi="Play" w:cs="Play"/>
        </w:rPr>
      </w:pPr>
      <w:r>
        <w:rPr>
          <w:rFonts w:ascii="Arial" w:eastAsia="Arial" w:hAnsi="Arial" w:cs="Arial"/>
          <w:b/>
          <w:bCs/>
        </w:rPr>
        <w:t>Aprobación por el Concejo Municipal:</w:t>
      </w:r>
      <w:r>
        <w:rPr>
          <w:rFonts w:ascii="Arial" w:eastAsia="Arial" w:hAnsi="Arial" w:cs="Arial"/>
        </w:rPr>
        <w:t xml:space="preserve"> Este acuerdo tipo debe ser adoptado mediante acto administrativo del Concejo, conforme a los procedimientos legales vigentes.</w:t>
      </w:r>
    </w:p>
    <w:p w14:paraId="0000001F" w14:textId="77777777" w:rsidR="0036083F" w:rsidRDefault="0036083F" w:rsidP="00D357F8">
      <w:pPr>
        <w:spacing w:after="0" w:line="240" w:lineRule="auto"/>
        <w:ind w:left="720"/>
        <w:jc w:val="both"/>
        <w:rPr>
          <w:rFonts w:ascii="Arial" w:eastAsia="Arial" w:hAnsi="Arial" w:cs="Arial"/>
        </w:rPr>
      </w:pPr>
    </w:p>
    <w:p w14:paraId="00000020" w14:textId="76E9FAC6" w:rsidR="0036083F" w:rsidRDefault="0011228F" w:rsidP="00D357F8">
      <w:pPr>
        <w:numPr>
          <w:ilvl w:val="0"/>
          <w:numId w:val="18"/>
        </w:numPr>
        <w:spacing w:after="0" w:line="240" w:lineRule="auto"/>
        <w:jc w:val="both"/>
        <w:rPr>
          <w:rFonts w:ascii="Play" w:eastAsia="Play" w:hAnsi="Play" w:cs="Play"/>
        </w:rPr>
      </w:pPr>
      <w:r>
        <w:rPr>
          <w:rFonts w:ascii="Arial" w:eastAsia="Arial" w:hAnsi="Arial" w:cs="Arial"/>
          <w:b/>
          <w:bCs/>
        </w:rPr>
        <w:t>Anexos técnicos obligatorios:</w:t>
      </w:r>
      <w:r>
        <w:rPr>
          <w:rFonts w:ascii="Arial" w:eastAsia="Arial" w:hAnsi="Arial" w:cs="Arial"/>
        </w:rPr>
        <w:t xml:space="preserve"> La adopción debe incluir los planos, mapas y manuales que permitan la aplicación efectiva del modelo, tanto en la cabecera municipal como en los centros poblados.</w:t>
      </w:r>
    </w:p>
    <w:p w14:paraId="00000021" w14:textId="77777777" w:rsidR="0036083F" w:rsidRDefault="0036083F" w:rsidP="00D357F8">
      <w:pPr>
        <w:spacing w:after="0" w:line="240" w:lineRule="auto"/>
        <w:ind w:left="720"/>
        <w:jc w:val="both"/>
        <w:rPr>
          <w:rFonts w:ascii="Arial" w:eastAsia="Arial" w:hAnsi="Arial" w:cs="Arial"/>
        </w:rPr>
      </w:pPr>
    </w:p>
    <w:p w14:paraId="00000022" w14:textId="77777777" w:rsidR="0036083F" w:rsidRDefault="0011228F" w:rsidP="00D357F8">
      <w:pPr>
        <w:numPr>
          <w:ilvl w:val="0"/>
          <w:numId w:val="18"/>
        </w:numPr>
        <w:spacing w:after="0" w:line="240" w:lineRule="auto"/>
        <w:jc w:val="both"/>
        <w:rPr>
          <w:rFonts w:ascii="Play" w:eastAsia="Play" w:hAnsi="Play" w:cs="Play"/>
        </w:rPr>
      </w:pPr>
      <w:r>
        <w:rPr>
          <w:rFonts w:ascii="Arial" w:eastAsia="Arial" w:hAnsi="Arial" w:cs="Arial"/>
          <w:b/>
          <w:bCs/>
        </w:rPr>
        <w:t>Articulación interinstitucional:</w:t>
      </w:r>
      <w:r>
        <w:rPr>
          <w:rFonts w:ascii="Arial" w:eastAsia="Arial" w:hAnsi="Arial" w:cs="Arial"/>
        </w:rPr>
        <w:t xml:space="preserve"> Se recomienda establecer mecanismos de coordinación con entidades nacionales, gestores catastrales y empresas de servicios públicos para garantizar la interoperabilidad de la información.</w:t>
      </w:r>
    </w:p>
    <w:p w14:paraId="00000023" w14:textId="77777777" w:rsidR="0036083F" w:rsidRDefault="0036083F" w:rsidP="00D357F8">
      <w:pPr>
        <w:spacing w:after="0" w:line="240" w:lineRule="auto"/>
        <w:ind w:left="720"/>
        <w:jc w:val="both"/>
        <w:rPr>
          <w:rFonts w:ascii="Arial" w:eastAsia="Arial" w:hAnsi="Arial" w:cs="Arial"/>
        </w:rPr>
      </w:pPr>
    </w:p>
    <w:p w14:paraId="00000024" w14:textId="77777777" w:rsidR="0036083F" w:rsidRDefault="0011228F" w:rsidP="00D357F8">
      <w:pPr>
        <w:numPr>
          <w:ilvl w:val="0"/>
          <w:numId w:val="18"/>
        </w:numPr>
        <w:spacing w:after="0" w:line="240" w:lineRule="auto"/>
        <w:jc w:val="both"/>
        <w:rPr>
          <w:rFonts w:ascii="Arial" w:eastAsia="Arial" w:hAnsi="Arial" w:cs="Arial"/>
          <w:b/>
          <w:bCs/>
        </w:rPr>
      </w:pPr>
      <w:r>
        <w:rPr>
          <w:rFonts w:ascii="Arial" w:eastAsia="Arial" w:hAnsi="Arial" w:cs="Arial"/>
          <w:b/>
          <w:bCs/>
        </w:rPr>
        <w:t xml:space="preserve">Fuentes de financiación: </w:t>
      </w:r>
      <w:r>
        <w:rPr>
          <w:rFonts w:ascii="Arial" w:eastAsia="Arial" w:hAnsi="Arial" w:cs="Arial"/>
        </w:rPr>
        <w:t>Se sugiere financiar la implementación del sistema con: recursos de libre destinación, asignaciones del Sistema General de Participaciones, recursos del Sistema General de Regalías o, con fondos propios provenientes del recaudo de impuestos municipales, garantizando así una disponibilidad estable de recursos y evitando depender únicamente de la programación presupuestal anual.</w:t>
      </w:r>
    </w:p>
    <w:p w14:paraId="00000025" w14:textId="77777777" w:rsidR="0036083F" w:rsidRDefault="0036083F" w:rsidP="00D357F8">
      <w:pPr>
        <w:spacing w:after="0" w:line="240" w:lineRule="auto"/>
        <w:ind w:left="720"/>
        <w:jc w:val="both"/>
        <w:rPr>
          <w:rFonts w:ascii="Arial" w:eastAsia="Arial" w:hAnsi="Arial" w:cs="Arial"/>
        </w:rPr>
      </w:pPr>
    </w:p>
    <w:p w14:paraId="00000026" w14:textId="77777777" w:rsidR="0036083F" w:rsidRPr="00945DA1" w:rsidRDefault="0011228F" w:rsidP="00D357F8">
      <w:pPr>
        <w:numPr>
          <w:ilvl w:val="0"/>
          <w:numId w:val="18"/>
        </w:numPr>
        <w:spacing w:after="280" w:line="240" w:lineRule="auto"/>
        <w:jc w:val="both"/>
        <w:rPr>
          <w:rFonts w:ascii="Play" w:eastAsia="Play" w:hAnsi="Play" w:cs="Play"/>
        </w:rPr>
      </w:pPr>
      <w:r>
        <w:rPr>
          <w:rFonts w:ascii="Arial" w:eastAsia="Arial" w:hAnsi="Arial" w:cs="Arial"/>
          <w:b/>
          <w:bCs/>
        </w:rPr>
        <w:t>Divulgación ciudadana:</w:t>
      </w:r>
      <w:r>
        <w:rPr>
          <w:rFonts w:ascii="Arial" w:eastAsia="Arial" w:hAnsi="Arial" w:cs="Arial"/>
        </w:rPr>
        <w:t xml:space="preserve"> La implementación debe ir acompañada de estrategias de comunicación que permitan a la ciudadanía comprender, consultar y apropiarse de la nomenclatura oficial.</w:t>
      </w:r>
    </w:p>
    <w:p w14:paraId="2ED744A8" w14:textId="25FFB0B5" w:rsidR="00945DA1" w:rsidRPr="00181D96" w:rsidRDefault="00945DA1" w:rsidP="00D357F8">
      <w:pPr>
        <w:numPr>
          <w:ilvl w:val="0"/>
          <w:numId w:val="18"/>
        </w:numPr>
        <w:spacing w:after="280" w:line="240" w:lineRule="auto"/>
        <w:jc w:val="both"/>
        <w:rPr>
          <w:rFonts w:ascii="Arial" w:eastAsia="Arial" w:hAnsi="Arial" w:cs="Arial"/>
        </w:rPr>
      </w:pPr>
      <w:r w:rsidRPr="00181D96">
        <w:rPr>
          <w:rFonts w:ascii="Arial" w:eastAsia="Arial" w:hAnsi="Arial" w:cs="Arial"/>
          <w:b/>
          <w:bCs/>
        </w:rPr>
        <w:t>Armonización normativa:</w:t>
      </w:r>
      <w:r w:rsidRPr="00181D96">
        <w:rPr>
          <w:rFonts w:ascii="Arial" w:eastAsia="Arial" w:hAnsi="Arial" w:cs="Arial"/>
        </w:rPr>
        <w:t xml:space="preserve"> Se recomienda que el municipio consulte y adopte la nomenclatura oficial, revisando su marco normativo para identificar disposiciones vigentes o nuevas normas nacionales relacionadas, e incorporarlas de forma complementaria a la reglamentación municipal, garantizando coherencia técnica e institucional.</w:t>
      </w:r>
    </w:p>
    <w:p w14:paraId="00000027" w14:textId="6E744CA0" w:rsidR="0036083F" w:rsidRDefault="0011228F">
      <w:pPr>
        <w:spacing w:before="280" w:after="280" w:line="240" w:lineRule="auto"/>
        <w:jc w:val="both"/>
        <w:rPr>
          <w:rFonts w:ascii="Arial" w:eastAsia="Arial" w:hAnsi="Arial" w:cs="Arial"/>
        </w:rPr>
      </w:pPr>
      <w:r>
        <w:rPr>
          <w:rFonts w:ascii="Arial" w:eastAsia="Arial" w:hAnsi="Arial" w:cs="Arial"/>
        </w:rPr>
        <w:t xml:space="preserve">Este modelo normativo </w:t>
      </w:r>
      <w:r w:rsidR="00D357F8">
        <w:rPr>
          <w:rFonts w:ascii="Arial" w:eastAsia="Arial" w:hAnsi="Arial" w:cs="Arial"/>
        </w:rPr>
        <w:t>constituye una</w:t>
      </w:r>
      <w:r>
        <w:rPr>
          <w:rFonts w:ascii="Arial" w:eastAsia="Arial" w:hAnsi="Arial" w:cs="Arial"/>
        </w:rPr>
        <w:t xml:space="preserve"> herramienta estratégica para fortalecer la gestión territorial, mejorar la prestación de servicios y garantizar el derecho de todos los ciudadanos a contar con una dirección oficial, clara, única y reconocida por las instituciones públicas y privadas.</w:t>
      </w:r>
    </w:p>
    <w:p w14:paraId="00000028" w14:textId="77777777" w:rsidR="0036083F" w:rsidRDefault="0036083F">
      <w:pPr>
        <w:jc w:val="both"/>
        <w:rPr>
          <w:rFonts w:ascii="Arial" w:eastAsia="Arial" w:hAnsi="Arial" w:cs="Arial"/>
        </w:rPr>
      </w:pPr>
    </w:p>
    <w:p w14:paraId="0000002F" w14:textId="77777777" w:rsidR="0036083F" w:rsidRDefault="0011228F">
      <w:pPr>
        <w:jc w:val="center"/>
        <w:rPr>
          <w:rFonts w:ascii="Arial" w:eastAsia="Arial" w:hAnsi="Arial" w:cs="Arial"/>
          <w:b/>
          <w:bCs/>
        </w:rPr>
      </w:pPr>
      <w:r>
        <w:rPr>
          <w:rFonts w:ascii="Arial" w:eastAsia="Arial" w:hAnsi="Arial" w:cs="Arial"/>
          <w:b/>
          <w:bCs/>
        </w:rPr>
        <w:lastRenderedPageBreak/>
        <w:t xml:space="preserve">ACUERDO MUNICIPAL N.º </w:t>
      </w:r>
      <w:proofErr w:type="gramStart"/>
      <w:r>
        <w:rPr>
          <w:rFonts w:ascii="Arial" w:eastAsia="Arial" w:hAnsi="Arial" w:cs="Arial"/>
          <w:b/>
          <w:bCs/>
        </w:rPr>
        <w:t>[  ]</w:t>
      </w:r>
      <w:proofErr w:type="gramEnd"/>
      <w:r>
        <w:rPr>
          <w:rFonts w:ascii="Arial" w:eastAsia="Arial" w:hAnsi="Arial" w:cs="Arial"/>
          <w:b/>
          <w:bCs/>
        </w:rPr>
        <w:t xml:space="preserve"> DE [AÑO]</w:t>
      </w:r>
    </w:p>
    <w:p w14:paraId="00000030" w14:textId="479A2018" w:rsidR="0036083F" w:rsidRDefault="0011228F">
      <w:pPr>
        <w:jc w:val="both"/>
        <w:rPr>
          <w:rFonts w:ascii="Arial" w:eastAsia="Arial" w:hAnsi="Arial" w:cs="Arial"/>
        </w:rPr>
      </w:pPr>
      <w:r>
        <w:rPr>
          <w:rFonts w:ascii="Arial" w:eastAsia="Arial" w:hAnsi="Arial" w:cs="Arial"/>
          <w:b/>
          <w:bCs/>
        </w:rPr>
        <w:t>“</w:t>
      </w:r>
      <w:r>
        <w:rPr>
          <w:rFonts w:ascii="Arial" w:eastAsia="Arial" w:hAnsi="Arial" w:cs="Arial"/>
          <w:b/>
          <w:bCs/>
          <w:i/>
          <w:iCs/>
        </w:rPr>
        <w:t xml:space="preserve">Por medio del cual se oficializa y fortalece el sistema </w:t>
      </w:r>
      <w:r w:rsidR="006A5009">
        <w:rPr>
          <w:rFonts w:ascii="Arial" w:eastAsia="Arial" w:hAnsi="Arial" w:cs="Arial"/>
          <w:b/>
          <w:bCs/>
          <w:i/>
          <w:iCs/>
        </w:rPr>
        <w:t xml:space="preserve">Urbano </w:t>
      </w:r>
      <w:r>
        <w:rPr>
          <w:rFonts w:ascii="Arial" w:eastAsia="Arial" w:hAnsi="Arial" w:cs="Arial"/>
          <w:b/>
          <w:bCs/>
          <w:i/>
          <w:iCs/>
        </w:rPr>
        <w:t>de nomenclatura vial y domiciliaria del municipio de [Nombre del Municipio], y se dictan otras disposiciones</w:t>
      </w:r>
      <w:r>
        <w:rPr>
          <w:rFonts w:ascii="Arial" w:eastAsia="Arial" w:hAnsi="Arial" w:cs="Arial"/>
          <w:b/>
          <w:bCs/>
        </w:rPr>
        <w:t>.”</w:t>
      </w:r>
    </w:p>
    <w:p w14:paraId="00000031" w14:textId="77777777" w:rsidR="0036083F" w:rsidRDefault="0036083F">
      <w:pPr>
        <w:jc w:val="both"/>
        <w:rPr>
          <w:rFonts w:ascii="Arial" w:eastAsia="Arial" w:hAnsi="Arial" w:cs="Arial"/>
        </w:rPr>
      </w:pPr>
    </w:p>
    <w:p w14:paraId="00000032" w14:textId="77777777" w:rsidR="0036083F" w:rsidRDefault="0011228F">
      <w:pPr>
        <w:jc w:val="center"/>
        <w:rPr>
          <w:rFonts w:ascii="Arial" w:eastAsia="Arial" w:hAnsi="Arial" w:cs="Arial"/>
          <w:b/>
          <w:bCs/>
        </w:rPr>
      </w:pPr>
      <w:r>
        <w:rPr>
          <w:rFonts w:ascii="Arial" w:eastAsia="Arial" w:hAnsi="Arial" w:cs="Arial"/>
          <w:b/>
          <w:bCs/>
        </w:rPr>
        <w:t>I. PARTE MOTIVA</w:t>
      </w:r>
    </w:p>
    <w:p w14:paraId="00000033" w14:textId="77777777" w:rsidR="0036083F" w:rsidRDefault="0011228F">
      <w:pPr>
        <w:jc w:val="both"/>
        <w:rPr>
          <w:rFonts w:ascii="Arial" w:eastAsia="Arial" w:hAnsi="Arial" w:cs="Arial"/>
          <w:b/>
          <w:bCs/>
        </w:rPr>
      </w:pPr>
      <w:r>
        <w:rPr>
          <w:rFonts w:ascii="Arial" w:eastAsia="Arial" w:hAnsi="Arial" w:cs="Arial"/>
          <w:b/>
          <w:bCs/>
        </w:rPr>
        <w:t>CONSIDERANDO:</w:t>
      </w:r>
    </w:p>
    <w:p w14:paraId="00000034" w14:textId="77777777" w:rsidR="0036083F" w:rsidRDefault="0011228F">
      <w:pPr>
        <w:jc w:val="both"/>
        <w:rPr>
          <w:rFonts w:ascii="Arial" w:eastAsia="Arial" w:hAnsi="Arial" w:cs="Arial"/>
        </w:rPr>
      </w:pPr>
      <w:r>
        <w:rPr>
          <w:rFonts w:ascii="Arial" w:eastAsia="Arial" w:hAnsi="Arial" w:cs="Arial"/>
        </w:rPr>
        <w:t>Que el artículo 311 de la Constitución Política establece que corresponde al municipio, como entidad fundamental de la división político-administrativa del Estado, ordenar el desarrollo de su territorio, promover la participación comunitaria y el mejoramiento social y cultural de sus habitantes.</w:t>
      </w:r>
    </w:p>
    <w:p w14:paraId="00000035" w14:textId="77777777" w:rsidR="0036083F" w:rsidRDefault="0011228F">
      <w:pPr>
        <w:jc w:val="both"/>
        <w:rPr>
          <w:rFonts w:ascii="Arial" w:eastAsia="Arial" w:hAnsi="Arial" w:cs="Arial"/>
        </w:rPr>
      </w:pPr>
      <w:r>
        <w:rPr>
          <w:rFonts w:ascii="Arial" w:eastAsia="Arial" w:hAnsi="Arial" w:cs="Arial"/>
        </w:rPr>
        <w:t>Que el artículo 313 de la Constitución Política de Colombia confiere a los concejos municipales la facultad de reglamentar las funciones y la prestación eficiente de los servicios a cargo del municipio, definir la estructura de la administración local y regular los usos del suelo, entre otras atribuciones relacionadas con la organización territorial. En ejercicio de estas competencias, los concejos ejercen potestad normativa y de control político, orientada a regular, planificar, presupuestar y vigilar la gestión municipal.</w:t>
      </w:r>
    </w:p>
    <w:p w14:paraId="00000036" w14:textId="77777777" w:rsidR="0036083F" w:rsidRDefault="0011228F">
      <w:pPr>
        <w:jc w:val="both"/>
        <w:rPr>
          <w:rFonts w:ascii="Arial" w:eastAsia="Arial" w:hAnsi="Arial" w:cs="Arial"/>
          <w:color w:val="0A0A0A"/>
        </w:rPr>
      </w:pPr>
      <w:r>
        <w:rPr>
          <w:rFonts w:ascii="Arial" w:eastAsia="Arial" w:hAnsi="Arial" w:cs="Arial"/>
          <w:color w:val="0A0A0A"/>
        </w:rPr>
        <w:t xml:space="preserve">Que la Ley 388 de 1997, establece que la organización del territorio municipal debe sustentarse en instrumentos técnicos y normativos que permitan una gestión ordenada, eficiente y sostenible del espacio urbano y rural. Aunque la ley no menciona explícitamente la </w:t>
      </w:r>
      <w:r>
        <w:rPr>
          <w:rFonts w:ascii="Arial" w:eastAsia="Arial" w:hAnsi="Arial" w:cs="Arial"/>
          <w:i/>
          <w:iCs/>
          <w:color w:val="0A0A0A"/>
        </w:rPr>
        <w:t>"identificación precisa de las vías y predios"</w:t>
      </w:r>
      <w:r>
        <w:rPr>
          <w:rFonts w:ascii="Arial" w:eastAsia="Arial" w:hAnsi="Arial" w:cs="Arial"/>
          <w:color w:val="0A0A0A"/>
        </w:rPr>
        <w:t xml:space="preserve"> en un solo artículo, su objeto y contenido implican directamente esta necesidad. Esta norma proporciona el marco general para la planificación territorial que hace necesaria y fundamental la identificación precisa de vías y predios. </w:t>
      </w:r>
    </w:p>
    <w:p w14:paraId="00000037" w14:textId="2EA8E6E9" w:rsidR="0036083F" w:rsidRDefault="0011228F">
      <w:pPr>
        <w:jc w:val="both"/>
        <w:rPr>
          <w:rFonts w:ascii="Arial" w:eastAsia="Arial" w:hAnsi="Arial" w:cs="Arial"/>
        </w:rPr>
      </w:pPr>
      <w:r>
        <w:rPr>
          <w:rFonts w:ascii="Arial" w:eastAsia="Arial" w:hAnsi="Arial" w:cs="Arial"/>
        </w:rPr>
        <w:t xml:space="preserve">Que la Ley 142 de 1994, </w:t>
      </w:r>
      <w:r>
        <w:rPr>
          <w:rFonts w:ascii="Arial" w:eastAsia="Arial" w:hAnsi="Arial" w:cs="Arial"/>
          <w:i/>
          <w:iCs/>
        </w:rPr>
        <w:t>“Por la cual se establece el régimen de los servicios públicos domiciliarios</w:t>
      </w:r>
      <w:r w:rsidR="00D357F8">
        <w:rPr>
          <w:rFonts w:ascii="Arial" w:eastAsia="Arial" w:hAnsi="Arial" w:cs="Arial"/>
          <w:i/>
          <w:iCs/>
        </w:rPr>
        <w:t>”</w:t>
      </w:r>
      <w:r w:rsidR="00D357F8">
        <w:rPr>
          <w:rFonts w:ascii="Arial" w:eastAsia="Arial" w:hAnsi="Arial" w:cs="Arial"/>
        </w:rPr>
        <w:t>,</w:t>
      </w:r>
      <w:r>
        <w:rPr>
          <w:rFonts w:ascii="Arial" w:eastAsia="Arial" w:hAnsi="Arial" w:cs="Arial"/>
        </w:rPr>
        <w:t xml:space="preserve"> dispone en su artículo 5 numeral 5.5, que es competencia de los municipios establecer una nomenclatura alfanumérica precisa que permita individualizar cada predio al que hayan de prestarse servicios públicos.</w:t>
      </w:r>
    </w:p>
    <w:p w14:paraId="00000038" w14:textId="77777777" w:rsidR="0036083F" w:rsidRDefault="0011228F">
      <w:pPr>
        <w:jc w:val="both"/>
        <w:rPr>
          <w:rFonts w:ascii="Arial" w:eastAsia="Arial" w:hAnsi="Arial" w:cs="Arial"/>
        </w:rPr>
      </w:pPr>
      <w:r>
        <w:rPr>
          <w:rFonts w:ascii="Arial" w:eastAsia="Arial" w:hAnsi="Arial" w:cs="Arial"/>
        </w:rPr>
        <w:t>Que la Ley 1551 de 2012, “</w:t>
      </w:r>
      <w:r>
        <w:rPr>
          <w:rFonts w:ascii="Arial" w:eastAsia="Arial" w:hAnsi="Arial" w:cs="Arial"/>
          <w:i/>
          <w:iCs/>
        </w:rPr>
        <w:t>Por la cual se dictan normas para modernizar la organización y el funcionamiento de los municipios</w:t>
      </w:r>
      <w:r>
        <w:rPr>
          <w:rFonts w:ascii="Arial" w:eastAsia="Arial" w:hAnsi="Arial" w:cs="Arial"/>
        </w:rPr>
        <w:t>”, modificó el artículo 32, literal g), de la Ley 136 de 1994, asignando a los concejos municipales la atribución de determinar la nomenclatura de las vías públicas, predios y domicilios, en ejercicio de sus competencias de reglamentación y organización territorial.</w:t>
      </w:r>
    </w:p>
    <w:p w14:paraId="00000039" w14:textId="5941718D" w:rsidR="0036083F" w:rsidRDefault="0011228F">
      <w:pPr>
        <w:jc w:val="both"/>
        <w:rPr>
          <w:rFonts w:ascii="Arial" w:eastAsia="Arial" w:hAnsi="Arial" w:cs="Arial"/>
        </w:rPr>
      </w:pPr>
      <w:r>
        <w:rPr>
          <w:rFonts w:ascii="Arial" w:eastAsia="Arial" w:hAnsi="Arial" w:cs="Arial"/>
        </w:rPr>
        <w:lastRenderedPageBreak/>
        <w:t>Que la Ley 136 de 1994, “</w:t>
      </w:r>
      <w:r w:rsidR="00D357F8">
        <w:rPr>
          <w:rFonts w:ascii="Arial" w:eastAsia="Arial" w:hAnsi="Arial" w:cs="Arial"/>
          <w:i/>
          <w:iCs/>
        </w:rPr>
        <w:t>P</w:t>
      </w:r>
      <w:r w:rsidRPr="00D357F8">
        <w:rPr>
          <w:rFonts w:ascii="Arial" w:eastAsia="Arial" w:hAnsi="Arial" w:cs="Arial"/>
          <w:i/>
          <w:iCs/>
        </w:rPr>
        <w:t>or la cual se dictan normas tendientes a modernizar la organización y el funcionamiento de los municipios</w:t>
      </w:r>
      <w:r>
        <w:rPr>
          <w:rFonts w:ascii="Arial" w:eastAsia="Arial" w:hAnsi="Arial" w:cs="Arial"/>
        </w:rPr>
        <w:t>”, dispone en su artículo 3 que los municipios tienen autonomía para la gestión de sus intereses y dentro de los límites fijados por la Constitución y la ley, ejercerán las competencias que les correspondan</w:t>
      </w:r>
    </w:p>
    <w:p w14:paraId="0000003A" w14:textId="77777777" w:rsidR="0036083F" w:rsidRDefault="0011228F">
      <w:pPr>
        <w:jc w:val="both"/>
        <w:rPr>
          <w:rFonts w:ascii="Arial" w:eastAsia="Arial" w:hAnsi="Arial" w:cs="Arial"/>
        </w:rPr>
      </w:pPr>
      <w:r>
        <w:rPr>
          <w:rFonts w:ascii="Arial" w:eastAsia="Arial" w:hAnsi="Arial" w:cs="Arial"/>
        </w:rPr>
        <w:t>Que el municipio de</w:t>
      </w:r>
      <w:r>
        <w:rPr>
          <w:rFonts w:ascii="Arial" w:eastAsia="Arial" w:hAnsi="Arial" w:cs="Arial"/>
          <w:b/>
          <w:bCs/>
        </w:rPr>
        <w:t xml:space="preserve"> [Nombre del Municipio]</w:t>
      </w:r>
      <w:r>
        <w:rPr>
          <w:rFonts w:ascii="Arial" w:eastAsia="Arial" w:hAnsi="Arial" w:cs="Arial"/>
        </w:rPr>
        <w:t>, en ejercicio de sus funciones de administración y organización del territorio, requiere adoptar un modelo técnico y normativo de nomenclatura urbana que garantice la identificación oficial, única y trazable de las vías, predios y edificaciones, con el fin de facilitar la prestación de los servicios públicos, la gestión catastral y la articulación interinstitucional.</w:t>
      </w:r>
    </w:p>
    <w:p w14:paraId="0000003B" w14:textId="77777777" w:rsidR="0036083F" w:rsidRDefault="0011228F">
      <w:pPr>
        <w:jc w:val="both"/>
        <w:rPr>
          <w:rFonts w:ascii="Arial" w:eastAsia="Arial" w:hAnsi="Arial" w:cs="Arial"/>
        </w:rPr>
      </w:pPr>
      <w:r>
        <w:rPr>
          <w:rFonts w:ascii="Arial" w:eastAsia="Arial" w:hAnsi="Arial" w:cs="Arial"/>
        </w:rPr>
        <w:t>Que el crecimiento urbano del municipio y la necesidad de contar con información territorial clara, interoperable y actualizada hacen necesario establecer criterios técnicos, procedimientos administrativos y herramientas de gestión que orienten la asignación, ajuste, certificación y materialización de la nomenclatura vial y domiciliaria.</w:t>
      </w:r>
    </w:p>
    <w:p w14:paraId="0000003C" w14:textId="77777777" w:rsidR="0036083F" w:rsidRDefault="0011228F">
      <w:pPr>
        <w:jc w:val="both"/>
        <w:rPr>
          <w:rFonts w:ascii="Arial" w:eastAsia="Arial" w:hAnsi="Arial" w:cs="Arial"/>
        </w:rPr>
      </w:pPr>
      <w:r>
        <w:rPr>
          <w:rFonts w:ascii="Arial" w:eastAsia="Arial" w:hAnsi="Arial" w:cs="Arial"/>
        </w:rPr>
        <w:t xml:space="preserve">Que el modelo técnico de nomenclatura adoptado por el municipio se fundamenta en la estructuración de una malla vial, </w:t>
      </w:r>
      <w:r w:rsidRPr="00EC07A8">
        <w:rPr>
          <w:rFonts w:ascii="Arial" w:eastAsia="Arial" w:hAnsi="Arial" w:cs="Arial"/>
        </w:rPr>
        <w:t>la definición de ejes estructurantes y la delimitación de Zonas Unificadas de Nomenclatura Urbana (ZUNU),</w:t>
      </w:r>
      <w:r>
        <w:rPr>
          <w:rFonts w:ascii="Arial" w:eastAsia="Arial" w:hAnsi="Arial" w:cs="Arial"/>
        </w:rPr>
        <w:t xml:space="preserve"> lo cual permite una asignación coherente, estandarizada, precisa y oficial de direcciones en el territorio urbano.</w:t>
      </w:r>
    </w:p>
    <w:p w14:paraId="0000003D" w14:textId="77777777" w:rsidR="0036083F" w:rsidRDefault="0011228F">
      <w:pPr>
        <w:jc w:val="both"/>
        <w:rPr>
          <w:rFonts w:ascii="Arial" w:eastAsia="Arial" w:hAnsi="Arial" w:cs="Arial"/>
        </w:rPr>
      </w:pPr>
      <w:r>
        <w:rPr>
          <w:rFonts w:ascii="Arial" w:eastAsia="Arial" w:hAnsi="Arial" w:cs="Arial"/>
        </w:rPr>
        <w:t>Que resulta necesario formalizar y oficializar este modelo mediante la expedición del correspondiente acto administrativo, a efectos de garantizar validez jurídica y aplicación por parte de las entidades públicas y privadas que hacen uso de la información territorial y su incorporación en los sistemas de información catastral, de planeación y de servicios públicos del municipio.</w:t>
      </w:r>
    </w:p>
    <w:p w14:paraId="00000040" w14:textId="77777777" w:rsidR="0036083F" w:rsidRDefault="0011228F">
      <w:pPr>
        <w:jc w:val="both"/>
        <w:rPr>
          <w:rFonts w:ascii="Arial" w:eastAsia="Arial" w:hAnsi="Arial" w:cs="Arial"/>
        </w:rPr>
      </w:pPr>
      <w:r>
        <w:rPr>
          <w:rFonts w:ascii="Arial" w:eastAsia="Arial" w:hAnsi="Arial" w:cs="Arial"/>
        </w:rPr>
        <w:t>Que, en consecuencia, el Concejo Municipal, es competente para expedir el presente Acuerdo, mediante el cual se oficializa y fortalece el sistema de nomenclatura vial y domiciliaria del municipio, en ejercicio de las atribuciones conferidas por los artículos 311 y 313 de la Constitución Política, la Ley 136 de 1994, la Ley 388 de 1997, la Ley 142 de 1994 y la Ley 1551 de 2012.</w:t>
      </w:r>
    </w:p>
    <w:p w14:paraId="6D23E693" w14:textId="77777777" w:rsidR="00EC07A8" w:rsidRDefault="00EC07A8">
      <w:pPr>
        <w:jc w:val="both"/>
        <w:rPr>
          <w:rFonts w:ascii="Arial" w:eastAsia="Arial" w:hAnsi="Arial" w:cs="Arial"/>
        </w:rPr>
      </w:pPr>
    </w:p>
    <w:p w14:paraId="74AEBB05" w14:textId="77777777" w:rsidR="00EC07A8" w:rsidRDefault="00EC07A8">
      <w:pPr>
        <w:jc w:val="both"/>
        <w:rPr>
          <w:rFonts w:ascii="Arial" w:eastAsia="Arial" w:hAnsi="Arial" w:cs="Arial"/>
        </w:rPr>
      </w:pPr>
    </w:p>
    <w:p w14:paraId="1A7BD3C6" w14:textId="77777777" w:rsidR="00EC07A8" w:rsidRDefault="00EC07A8">
      <w:pPr>
        <w:jc w:val="both"/>
        <w:rPr>
          <w:rFonts w:ascii="Arial" w:eastAsia="Arial" w:hAnsi="Arial" w:cs="Arial"/>
        </w:rPr>
      </w:pPr>
    </w:p>
    <w:p w14:paraId="66279AA0" w14:textId="77777777" w:rsidR="00EC07A8" w:rsidRDefault="00EC07A8">
      <w:pPr>
        <w:jc w:val="both"/>
        <w:rPr>
          <w:rFonts w:ascii="Arial" w:eastAsia="Arial" w:hAnsi="Arial" w:cs="Arial"/>
        </w:rPr>
      </w:pPr>
    </w:p>
    <w:p w14:paraId="00000041" w14:textId="77777777" w:rsidR="0036083F" w:rsidRDefault="0036083F">
      <w:pPr>
        <w:jc w:val="both"/>
        <w:rPr>
          <w:rFonts w:ascii="Arial" w:eastAsia="Arial" w:hAnsi="Arial" w:cs="Arial"/>
          <w:color w:val="EE0000"/>
        </w:rPr>
      </w:pPr>
    </w:p>
    <w:p w14:paraId="00000042" w14:textId="77777777" w:rsidR="0036083F" w:rsidRDefault="0011228F">
      <w:pPr>
        <w:jc w:val="center"/>
        <w:rPr>
          <w:rFonts w:ascii="Arial" w:eastAsia="Arial" w:hAnsi="Arial" w:cs="Arial"/>
          <w:b/>
          <w:bCs/>
        </w:rPr>
      </w:pPr>
      <w:r>
        <w:rPr>
          <w:rFonts w:ascii="Arial" w:eastAsia="Arial" w:hAnsi="Arial" w:cs="Arial"/>
          <w:b/>
          <w:bCs/>
        </w:rPr>
        <w:lastRenderedPageBreak/>
        <w:t>II. PARTE RESOLUTIVA</w:t>
      </w:r>
    </w:p>
    <w:p w14:paraId="00000043" w14:textId="77777777" w:rsidR="0036083F" w:rsidRDefault="0011228F">
      <w:pPr>
        <w:jc w:val="both"/>
        <w:rPr>
          <w:rFonts w:ascii="Arial" w:eastAsia="Arial" w:hAnsi="Arial" w:cs="Arial"/>
          <w:b/>
          <w:bCs/>
        </w:rPr>
      </w:pPr>
      <w:r>
        <w:rPr>
          <w:rFonts w:ascii="Arial" w:eastAsia="Arial" w:hAnsi="Arial" w:cs="Arial"/>
          <w:b/>
          <w:bCs/>
        </w:rPr>
        <w:t>CAPÍTULO I – DEFINICIONES</w:t>
      </w:r>
    </w:p>
    <w:p w14:paraId="00000044" w14:textId="77777777" w:rsidR="0036083F" w:rsidRDefault="0011228F">
      <w:pPr>
        <w:jc w:val="both"/>
        <w:rPr>
          <w:rFonts w:ascii="Arial" w:eastAsia="Arial" w:hAnsi="Arial" w:cs="Arial"/>
          <w:b/>
          <w:bCs/>
        </w:rPr>
      </w:pPr>
      <w:r>
        <w:rPr>
          <w:rFonts w:ascii="Arial" w:eastAsia="Arial" w:hAnsi="Arial" w:cs="Arial"/>
        </w:rPr>
        <w:t xml:space="preserve">El presente capítulo establece las definiciones fundamentales para la adecuada comprensión y aplicación del sistema de nomenclatura urbana del municipio de </w:t>
      </w:r>
      <w:r>
        <w:rPr>
          <w:rFonts w:ascii="Arial" w:eastAsia="Arial" w:hAnsi="Arial" w:cs="Arial"/>
          <w:b/>
          <w:bCs/>
        </w:rPr>
        <w:t>[Nombre del Municipio]</w:t>
      </w:r>
      <w:r>
        <w:rPr>
          <w:rFonts w:ascii="Arial" w:eastAsia="Arial" w:hAnsi="Arial" w:cs="Arial"/>
        </w:rPr>
        <w:t>. Las definiciones aquí incluidas proporcionan un marco conceptual claro que garantiza interoperabilidad, coherencia y trazabilidad institucional en la gestión de la nomenclatura municipal.</w:t>
      </w:r>
    </w:p>
    <w:p w14:paraId="00000046" w14:textId="77777777" w:rsidR="0036083F" w:rsidRDefault="0011228F">
      <w:pPr>
        <w:jc w:val="both"/>
        <w:rPr>
          <w:rFonts w:ascii="Arial" w:eastAsia="Arial" w:hAnsi="Arial" w:cs="Arial"/>
        </w:rPr>
      </w:pPr>
      <w:r>
        <w:rPr>
          <w:rFonts w:ascii="Arial" w:eastAsia="Arial" w:hAnsi="Arial" w:cs="Arial"/>
          <w:b/>
          <w:bCs/>
        </w:rPr>
        <w:t xml:space="preserve">Artículo 1. Definiciones. </w:t>
      </w:r>
      <w:r>
        <w:rPr>
          <w:rFonts w:ascii="Arial" w:eastAsia="Arial" w:hAnsi="Arial" w:cs="Arial"/>
        </w:rPr>
        <w:t>Para efectos de la interpretación y aplicación del presente Acuerdo, se adoptan las siguientes definiciones:</w:t>
      </w:r>
    </w:p>
    <w:p w14:paraId="00000048" w14:textId="77777777" w:rsidR="0036083F" w:rsidRDefault="0011228F">
      <w:pPr>
        <w:jc w:val="both"/>
        <w:rPr>
          <w:rFonts w:ascii="Arial" w:eastAsia="Arial" w:hAnsi="Arial" w:cs="Arial"/>
        </w:rPr>
      </w:pPr>
      <w:r>
        <w:rPr>
          <w:rFonts w:ascii="Arial" w:eastAsia="Arial" w:hAnsi="Arial" w:cs="Arial"/>
          <w:b/>
          <w:bCs/>
        </w:rPr>
        <w:t>A. Elementos espaciales y estructurales</w:t>
      </w:r>
    </w:p>
    <w:p w14:paraId="00000049" w14:textId="77777777" w:rsidR="0036083F" w:rsidRDefault="0011228F">
      <w:pPr>
        <w:numPr>
          <w:ilvl w:val="0"/>
          <w:numId w:val="9"/>
        </w:numPr>
        <w:jc w:val="both"/>
      </w:pPr>
      <w:r>
        <w:rPr>
          <w:rFonts w:ascii="Arial" w:eastAsia="Arial" w:hAnsi="Arial" w:cs="Arial"/>
          <w:b/>
          <w:bCs/>
        </w:rPr>
        <w:t>Vía:</w:t>
      </w:r>
      <w:r>
        <w:rPr>
          <w:rFonts w:ascii="Arial" w:eastAsia="Arial" w:hAnsi="Arial" w:cs="Arial"/>
        </w:rPr>
        <w:t xml:space="preserve"> Espacio físico destinado al tránsito de vehículos y/o personas.</w:t>
      </w:r>
    </w:p>
    <w:p w14:paraId="0000004A" w14:textId="77777777" w:rsidR="0036083F" w:rsidRDefault="0011228F">
      <w:pPr>
        <w:numPr>
          <w:ilvl w:val="0"/>
          <w:numId w:val="9"/>
        </w:numPr>
        <w:jc w:val="both"/>
      </w:pPr>
      <w:r>
        <w:rPr>
          <w:rFonts w:ascii="Arial" w:eastAsia="Arial" w:hAnsi="Arial" w:cs="Arial"/>
          <w:b/>
          <w:bCs/>
        </w:rPr>
        <w:t>Eje vial:</w:t>
      </w:r>
      <w:r>
        <w:rPr>
          <w:rFonts w:ascii="Arial" w:eastAsia="Arial" w:hAnsi="Arial" w:cs="Arial"/>
        </w:rPr>
        <w:t xml:space="preserve"> Representación lineal de una vía dentro del sistema de información geográfica.</w:t>
      </w:r>
    </w:p>
    <w:p w14:paraId="0000004B" w14:textId="4BDB6FF2" w:rsidR="0036083F" w:rsidRDefault="0011228F">
      <w:pPr>
        <w:numPr>
          <w:ilvl w:val="0"/>
          <w:numId w:val="9"/>
        </w:numPr>
        <w:jc w:val="both"/>
      </w:pPr>
      <w:r>
        <w:rPr>
          <w:rFonts w:ascii="Arial" w:eastAsia="Arial" w:hAnsi="Arial" w:cs="Arial"/>
          <w:b/>
          <w:bCs/>
        </w:rPr>
        <w:t>Eje generador:</w:t>
      </w:r>
      <w:r>
        <w:rPr>
          <w:rFonts w:ascii="Arial" w:eastAsia="Arial" w:hAnsi="Arial" w:cs="Arial"/>
        </w:rPr>
        <w:t xml:space="preserve"> Vía de menor denominación que </w:t>
      </w:r>
      <w:r w:rsidR="00D357F8">
        <w:rPr>
          <w:rFonts w:ascii="Arial" w:eastAsia="Arial" w:hAnsi="Arial" w:cs="Arial"/>
        </w:rPr>
        <w:t>intercepta</w:t>
      </w:r>
      <w:r>
        <w:rPr>
          <w:rFonts w:ascii="Arial" w:eastAsia="Arial" w:hAnsi="Arial" w:cs="Arial"/>
        </w:rPr>
        <w:t xml:space="preserve"> con el eje vial sobre el cual se encuentra el frente de un predio.</w:t>
      </w:r>
    </w:p>
    <w:p w14:paraId="0000004C" w14:textId="77777777" w:rsidR="0036083F" w:rsidRDefault="0011228F">
      <w:pPr>
        <w:numPr>
          <w:ilvl w:val="0"/>
          <w:numId w:val="9"/>
        </w:numPr>
        <w:jc w:val="both"/>
      </w:pPr>
      <w:r>
        <w:rPr>
          <w:rFonts w:ascii="Arial" w:eastAsia="Arial" w:hAnsi="Arial" w:cs="Arial"/>
          <w:b/>
          <w:bCs/>
        </w:rPr>
        <w:t>Malla vial:</w:t>
      </w:r>
      <w:r>
        <w:rPr>
          <w:rFonts w:ascii="Arial" w:eastAsia="Arial" w:hAnsi="Arial" w:cs="Arial"/>
        </w:rPr>
        <w:t xml:space="preserve"> Red de ejes viales existentes o proyectados que conforman la estructura vial del municipio.</w:t>
      </w:r>
    </w:p>
    <w:p w14:paraId="0000004D" w14:textId="77777777" w:rsidR="0036083F" w:rsidRDefault="0011228F">
      <w:pPr>
        <w:numPr>
          <w:ilvl w:val="0"/>
          <w:numId w:val="9"/>
        </w:numPr>
        <w:jc w:val="both"/>
      </w:pPr>
      <w:r>
        <w:rPr>
          <w:rFonts w:ascii="Arial" w:eastAsia="Arial" w:hAnsi="Arial" w:cs="Arial"/>
          <w:b/>
          <w:bCs/>
        </w:rPr>
        <w:t>Eje estructurante:</w:t>
      </w:r>
      <w:r>
        <w:rPr>
          <w:rFonts w:ascii="Arial" w:eastAsia="Arial" w:hAnsi="Arial" w:cs="Arial"/>
        </w:rPr>
        <w:t xml:space="preserve"> Vía principal que delimita zonas homogéneas dentro del municipio.</w:t>
      </w:r>
    </w:p>
    <w:p w14:paraId="0000004E" w14:textId="77777777" w:rsidR="0036083F" w:rsidRDefault="0011228F">
      <w:pPr>
        <w:numPr>
          <w:ilvl w:val="0"/>
          <w:numId w:val="9"/>
        </w:numPr>
        <w:jc w:val="both"/>
      </w:pPr>
      <w:r>
        <w:rPr>
          <w:rFonts w:ascii="Arial" w:eastAsia="Arial" w:hAnsi="Arial" w:cs="Arial"/>
          <w:b/>
          <w:bCs/>
        </w:rPr>
        <w:t>Zona Unificada de Nomenclatura Urbana (ZUNU):</w:t>
      </w:r>
      <w:r>
        <w:rPr>
          <w:rFonts w:ascii="Arial" w:eastAsia="Arial" w:hAnsi="Arial" w:cs="Arial"/>
        </w:rPr>
        <w:t xml:space="preserve"> Área delimitada por ejes estructurantes en la que se aplica una lógica uniforme de numeración y denominación.</w:t>
      </w:r>
    </w:p>
    <w:p w14:paraId="0000004F" w14:textId="77777777" w:rsidR="0036083F" w:rsidRDefault="0011228F">
      <w:pPr>
        <w:jc w:val="both"/>
        <w:rPr>
          <w:rFonts w:ascii="Arial" w:eastAsia="Arial" w:hAnsi="Arial" w:cs="Arial"/>
        </w:rPr>
      </w:pPr>
      <w:r>
        <w:rPr>
          <w:rFonts w:ascii="Arial" w:eastAsia="Arial" w:hAnsi="Arial" w:cs="Arial"/>
          <w:b/>
          <w:bCs/>
        </w:rPr>
        <w:t>B. Componentes del sistema de nomenclatura</w:t>
      </w:r>
    </w:p>
    <w:p w14:paraId="00000050" w14:textId="77777777" w:rsidR="0036083F" w:rsidRDefault="0011228F">
      <w:pPr>
        <w:numPr>
          <w:ilvl w:val="0"/>
          <w:numId w:val="17"/>
        </w:numPr>
        <w:jc w:val="both"/>
      </w:pPr>
      <w:r>
        <w:rPr>
          <w:rFonts w:ascii="Arial" w:eastAsia="Arial" w:hAnsi="Arial" w:cs="Arial"/>
          <w:b/>
          <w:bCs/>
        </w:rPr>
        <w:t>Nomenclatura:</w:t>
      </w:r>
      <w:r>
        <w:rPr>
          <w:rFonts w:ascii="Arial" w:eastAsia="Arial" w:hAnsi="Arial" w:cs="Arial"/>
        </w:rPr>
        <w:t xml:space="preserve"> Identificador alfanumérico único que permite ubicar una vía o predio.</w:t>
      </w:r>
    </w:p>
    <w:p w14:paraId="00000051" w14:textId="77777777" w:rsidR="0036083F" w:rsidRDefault="0011228F">
      <w:pPr>
        <w:numPr>
          <w:ilvl w:val="0"/>
          <w:numId w:val="17"/>
        </w:numPr>
        <w:jc w:val="both"/>
      </w:pPr>
      <w:r>
        <w:rPr>
          <w:rFonts w:ascii="Arial" w:eastAsia="Arial" w:hAnsi="Arial" w:cs="Arial"/>
          <w:b/>
          <w:bCs/>
        </w:rPr>
        <w:t>Nomenclatura vial:</w:t>
      </w:r>
      <w:r>
        <w:rPr>
          <w:rFonts w:ascii="Arial" w:eastAsia="Arial" w:hAnsi="Arial" w:cs="Arial"/>
        </w:rPr>
        <w:t xml:space="preserve"> Identificación asignada a una vía.</w:t>
      </w:r>
    </w:p>
    <w:p w14:paraId="00000052" w14:textId="25F70040" w:rsidR="0036083F" w:rsidRDefault="0011228F">
      <w:pPr>
        <w:numPr>
          <w:ilvl w:val="0"/>
          <w:numId w:val="17"/>
        </w:numPr>
        <w:jc w:val="both"/>
      </w:pPr>
      <w:r>
        <w:rPr>
          <w:rFonts w:ascii="Arial" w:eastAsia="Arial" w:hAnsi="Arial" w:cs="Arial"/>
          <w:b/>
          <w:bCs/>
        </w:rPr>
        <w:t>Nomenclatura domiciliaria:</w:t>
      </w:r>
      <w:r>
        <w:rPr>
          <w:rFonts w:ascii="Arial" w:eastAsia="Arial" w:hAnsi="Arial" w:cs="Arial"/>
        </w:rPr>
        <w:t xml:space="preserve"> Identificación asignada al acceso de un predio</w:t>
      </w:r>
      <w:r w:rsidR="009312BB">
        <w:rPr>
          <w:rFonts w:ascii="Arial" w:eastAsia="Arial" w:hAnsi="Arial" w:cs="Arial"/>
        </w:rPr>
        <w:t>, conformada por tres elementos: la vía principal (tipo de vía, número, letra</w:t>
      </w:r>
      <w:r w:rsidR="000358F9">
        <w:rPr>
          <w:rFonts w:ascii="Arial" w:eastAsia="Arial" w:hAnsi="Arial" w:cs="Arial"/>
        </w:rPr>
        <w:t>(</w:t>
      </w:r>
      <w:r w:rsidR="009312BB">
        <w:rPr>
          <w:rFonts w:ascii="Arial" w:eastAsia="Arial" w:hAnsi="Arial" w:cs="Arial"/>
        </w:rPr>
        <w:t>s</w:t>
      </w:r>
      <w:r w:rsidR="000358F9">
        <w:rPr>
          <w:rFonts w:ascii="Arial" w:eastAsia="Arial" w:hAnsi="Arial" w:cs="Arial"/>
        </w:rPr>
        <w:t>)</w:t>
      </w:r>
      <w:r w:rsidR="009312BB">
        <w:rPr>
          <w:rFonts w:ascii="Arial" w:eastAsia="Arial" w:hAnsi="Arial" w:cs="Arial"/>
        </w:rPr>
        <w:t xml:space="preserve"> que lo acompaña</w:t>
      </w:r>
      <w:r w:rsidR="000358F9">
        <w:rPr>
          <w:rFonts w:ascii="Arial" w:eastAsia="Arial" w:hAnsi="Arial" w:cs="Arial"/>
        </w:rPr>
        <w:t>(</w:t>
      </w:r>
      <w:r w:rsidR="009312BB">
        <w:rPr>
          <w:rFonts w:ascii="Arial" w:eastAsia="Arial" w:hAnsi="Arial" w:cs="Arial"/>
        </w:rPr>
        <w:t>n</w:t>
      </w:r>
      <w:r w:rsidR="000358F9">
        <w:rPr>
          <w:rFonts w:ascii="Arial" w:eastAsia="Arial" w:hAnsi="Arial" w:cs="Arial"/>
        </w:rPr>
        <w:t>)</w:t>
      </w:r>
      <w:r w:rsidR="009312BB">
        <w:rPr>
          <w:rFonts w:ascii="Arial" w:eastAsia="Arial" w:hAnsi="Arial" w:cs="Arial"/>
        </w:rPr>
        <w:t xml:space="preserve"> y cuadrante</w:t>
      </w:r>
      <w:r w:rsidR="00A80E9B">
        <w:rPr>
          <w:rFonts w:ascii="Arial" w:eastAsia="Arial" w:hAnsi="Arial" w:cs="Arial"/>
        </w:rPr>
        <w:t>)</w:t>
      </w:r>
      <w:r w:rsidR="009312BB">
        <w:rPr>
          <w:rFonts w:ascii="Arial" w:eastAsia="Arial" w:hAnsi="Arial" w:cs="Arial"/>
        </w:rPr>
        <w:t>, el número de la vía generadora (número, letra(s) que lo acompaña</w:t>
      </w:r>
      <w:r w:rsidR="000358F9">
        <w:rPr>
          <w:rFonts w:ascii="Arial" w:eastAsia="Arial" w:hAnsi="Arial" w:cs="Arial"/>
        </w:rPr>
        <w:t>(</w:t>
      </w:r>
      <w:r w:rsidR="009312BB">
        <w:rPr>
          <w:rFonts w:ascii="Arial" w:eastAsia="Arial" w:hAnsi="Arial" w:cs="Arial"/>
        </w:rPr>
        <w:t>n</w:t>
      </w:r>
      <w:r w:rsidR="000358F9">
        <w:rPr>
          <w:rFonts w:ascii="Arial" w:eastAsia="Arial" w:hAnsi="Arial" w:cs="Arial"/>
        </w:rPr>
        <w:t>)</w:t>
      </w:r>
      <w:r w:rsidR="009312BB">
        <w:rPr>
          <w:rFonts w:ascii="Arial" w:eastAsia="Arial" w:hAnsi="Arial" w:cs="Arial"/>
        </w:rPr>
        <w:t xml:space="preserve"> y cuadrante</w:t>
      </w:r>
      <w:r w:rsidR="00A80E9B">
        <w:rPr>
          <w:rFonts w:ascii="Arial" w:eastAsia="Arial" w:hAnsi="Arial" w:cs="Arial"/>
        </w:rPr>
        <w:t>)</w:t>
      </w:r>
      <w:r w:rsidR="009312BB">
        <w:rPr>
          <w:rFonts w:ascii="Arial" w:eastAsia="Arial" w:hAnsi="Arial" w:cs="Arial"/>
        </w:rPr>
        <w:t xml:space="preserve"> y la distancia desde el eje generador hasta el acceso del predio</w:t>
      </w:r>
      <w:r>
        <w:rPr>
          <w:rFonts w:ascii="Arial" w:eastAsia="Arial" w:hAnsi="Arial" w:cs="Arial"/>
        </w:rPr>
        <w:t>.</w:t>
      </w:r>
    </w:p>
    <w:p w14:paraId="00000053" w14:textId="77777777" w:rsidR="0036083F" w:rsidRDefault="0011228F">
      <w:pPr>
        <w:numPr>
          <w:ilvl w:val="0"/>
          <w:numId w:val="17"/>
        </w:numPr>
        <w:jc w:val="both"/>
      </w:pPr>
      <w:r>
        <w:rPr>
          <w:rFonts w:ascii="Arial" w:eastAsia="Arial" w:hAnsi="Arial" w:cs="Arial"/>
          <w:b/>
          <w:bCs/>
        </w:rPr>
        <w:t>Nomenclatura principal:</w:t>
      </w:r>
      <w:r>
        <w:rPr>
          <w:rFonts w:ascii="Arial" w:eastAsia="Arial" w:hAnsi="Arial" w:cs="Arial"/>
        </w:rPr>
        <w:t xml:space="preserve"> Dirección oficial del acceso principal de un predio.</w:t>
      </w:r>
    </w:p>
    <w:p w14:paraId="00000054" w14:textId="77777777" w:rsidR="0036083F" w:rsidRDefault="0011228F">
      <w:pPr>
        <w:numPr>
          <w:ilvl w:val="0"/>
          <w:numId w:val="17"/>
        </w:numPr>
        <w:jc w:val="both"/>
      </w:pPr>
      <w:r>
        <w:rPr>
          <w:rFonts w:ascii="Arial" w:eastAsia="Arial" w:hAnsi="Arial" w:cs="Arial"/>
          <w:b/>
          <w:bCs/>
        </w:rPr>
        <w:lastRenderedPageBreak/>
        <w:t>Nomenclatura secundaria:</w:t>
      </w:r>
      <w:r>
        <w:rPr>
          <w:rFonts w:ascii="Arial" w:eastAsia="Arial" w:hAnsi="Arial" w:cs="Arial"/>
        </w:rPr>
        <w:t xml:space="preserve"> Dirección complementaria para accesos adicionales sobre la misma vía.</w:t>
      </w:r>
    </w:p>
    <w:p w14:paraId="00000055" w14:textId="77777777" w:rsidR="0036083F" w:rsidRDefault="0011228F">
      <w:pPr>
        <w:numPr>
          <w:ilvl w:val="0"/>
          <w:numId w:val="17"/>
        </w:numPr>
        <w:jc w:val="both"/>
      </w:pPr>
      <w:r>
        <w:rPr>
          <w:rFonts w:ascii="Arial" w:eastAsia="Arial" w:hAnsi="Arial" w:cs="Arial"/>
          <w:b/>
          <w:bCs/>
        </w:rPr>
        <w:t>Nomenclatura incluye:</w:t>
      </w:r>
      <w:r>
        <w:rPr>
          <w:rFonts w:ascii="Arial" w:eastAsia="Arial" w:hAnsi="Arial" w:cs="Arial"/>
        </w:rPr>
        <w:t xml:space="preserve"> Dirección adicional para accesos ubicados sobre una vía distinta a la principal.</w:t>
      </w:r>
    </w:p>
    <w:p w14:paraId="00000056" w14:textId="77777777" w:rsidR="0036083F" w:rsidRDefault="0011228F">
      <w:pPr>
        <w:jc w:val="both"/>
        <w:rPr>
          <w:rFonts w:ascii="Arial" w:eastAsia="Arial" w:hAnsi="Arial" w:cs="Arial"/>
        </w:rPr>
      </w:pPr>
      <w:r>
        <w:rPr>
          <w:rFonts w:ascii="Arial" w:eastAsia="Arial" w:hAnsi="Arial" w:cs="Arial"/>
          <w:b/>
          <w:bCs/>
        </w:rPr>
        <w:t>C. Elementos físicos de identificación</w:t>
      </w:r>
    </w:p>
    <w:p w14:paraId="00000057" w14:textId="77777777" w:rsidR="0036083F" w:rsidRDefault="0011228F">
      <w:pPr>
        <w:numPr>
          <w:ilvl w:val="0"/>
          <w:numId w:val="19"/>
        </w:numPr>
        <w:jc w:val="both"/>
      </w:pPr>
      <w:r>
        <w:rPr>
          <w:rFonts w:ascii="Arial" w:eastAsia="Arial" w:hAnsi="Arial" w:cs="Arial"/>
          <w:b/>
          <w:bCs/>
        </w:rPr>
        <w:t>Placa vial:</w:t>
      </w:r>
      <w:r>
        <w:rPr>
          <w:rFonts w:ascii="Arial" w:eastAsia="Arial" w:hAnsi="Arial" w:cs="Arial"/>
        </w:rPr>
        <w:t xml:space="preserve"> Elemento físico instalado en esquinas de manzanas que indica los nombres o números de las vías.</w:t>
      </w:r>
    </w:p>
    <w:p w14:paraId="00000058" w14:textId="77777777" w:rsidR="0036083F" w:rsidRDefault="0011228F">
      <w:pPr>
        <w:numPr>
          <w:ilvl w:val="0"/>
          <w:numId w:val="19"/>
        </w:numPr>
        <w:jc w:val="both"/>
      </w:pPr>
      <w:r>
        <w:rPr>
          <w:rFonts w:ascii="Arial" w:eastAsia="Arial" w:hAnsi="Arial" w:cs="Arial"/>
          <w:b/>
          <w:bCs/>
        </w:rPr>
        <w:t>Placa domiciliaria:</w:t>
      </w:r>
      <w:r>
        <w:rPr>
          <w:rFonts w:ascii="Arial" w:eastAsia="Arial" w:hAnsi="Arial" w:cs="Arial"/>
        </w:rPr>
        <w:t xml:space="preserve"> Elemento físico instalado en el acceso de un predio, que contiene la nomenclatura oficial asignada.</w:t>
      </w:r>
    </w:p>
    <w:p w14:paraId="00000059" w14:textId="77777777" w:rsidR="0036083F" w:rsidRDefault="0011228F">
      <w:pPr>
        <w:numPr>
          <w:ilvl w:val="0"/>
          <w:numId w:val="19"/>
        </w:numPr>
        <w:jc w:val="both"/>
      </w:pPr>
      <w:r>
        <w:rPr>
          <w:rFonts w:ascii="Arial" w:eastAsia="Arial" w:hAnsi="Arial" w:cs="Arial"/>
          <w:b/>
          <w:bCs/>
        </w:rPr>
        <w:t>Acceso:</w:t>
      </w:r>
      <w:r>
        <w:rPr>
          <w:rFonts w:ascii="Arial" w:eastAsia="Arial" w:hAnsi="Arial" w:cs="Arial"/>
        </w:rPr>
        <w:t xml:space="preserve"> Punto físico de ingreso desde la vía pública a un predio.</w:t>
      </w:r>
    </w:p>
    <w:p w14:paraId="0000005A" w14:textId="77777777" w:rsidR="0036083F" w:rsidRDefault="0011228F">
      <w:pPr>
        <w:jc w:val="both"/>
        <w:rPr>
          <w:rFonts w:ascii="Arial" w:eastAsia="Arial" w:hAnsi="Arial" w:cs="Arial"/>
        </w:rPr>
      </w:pPr>
      <w:r>
        <w:rPr>
          <w:rFonts w:ascii="Arial" w:eastAsia="Arial" w:hAnsi="Arial" w:cs="Arial"/>
          <w:b/>
          <w:bCs/>
        </w:rPr>
        <w:t>D. Tipos de vía</w:t>
      </w:r>
    </w:p>
    <w:p w14:paraId="0000005B" w14:textId="77777777" w:rsidR="0036083F" w:rsidRDefault="0011228F">
      <w:pPr>
        <w:numPr>
          <w:ilvl w:val="0"/>
          <w:numId w:val="21"/>
        </w:numPr>
        <w:jc w:val="both"/>
      </w:pPr>
      <w:r>
        <w:rPr>
          <w:rFonts w:ascii="Arial" w:eastAsia="Arial" w:hAnsi="Arial" w:cs="Arial"/>
          <w:b/>
          <w:bCs/>
        </w:rPr>
        <w:t>Calle:</w:t>
      </w:r>
      <w:r>
        <w:rPr>
          <w:rFonts w:ascii="Arial" w:eastAsia="Arial" w:hAnsi="Arial" w:cs="Arial"/>
        </w:rPr>
        <w:t xml:space="preserve"> Vía con orientación predominante oriente-occidente.</w:t>
      </w:r>
    </w:p>
    <w:p w14:paraId="0000005C" w14:textId="77777777" w:rsidR="0036083F" w:rsidRDefault="0011228F">
      <w:pPr>
        <w:numPr>
          <w:ilvl w:val="0"/>
          <w:numId w:val="21"/>
        </w:numPr>
        <w:jc w:val="both"/>
      </w:pPr>
      <w:r>
        <w:rPr>
          <w:rFonts w:ascii="Arial" w:eastAsia="Arial" w:hAnsi="Arial" w:cs="Arial"/>
          <w:b/>
          <w:bCs/>
        </w:rPr>
        <w:t>Carrera:</w:t>
      </w:r>
      <w:r>
        <w:rPr>
          <w:rFonts w:ascii="Arial" w:eastAsia="Arial" w:hAnsi="Arial" w:cs="Arial"/>
        </w:rPr>
        <w:t xml:space="preserve"> Vía con orientación predominante norte-sur.</w:t>
      </w:r>
    </w:p>
    <w:p w14:paraId="0000005D" w14:textId="77777777" w:rsidR="0036083F" w:rsidRDefault="0011228F">
      <w:pPr>
        <w:numPr>
          <w:ilvl w:val="0"/>
          <w:numId w:val="21"/>
        </w:numPr>
        <w:jc w:val="both"/>
      </w:pPr>
      <w:r>
        <w:rPr>
          <w:rFonts w:ascii="Arial" w:eastAsia="Arial" w:hAnsi="Arial" w:cs="Arial"/>
          <w:b/>
          <w:bCs/>
        </w:rPr>
        <w:t>Avenida:</w:t>
      </w:r>
      <w:r>
        <w:rPr>
          <w:rFonts w:ascii="Arial" w:eastAsia="Arial" w:hAnsi="Arial" w:cs="Arial"/>
        </w:rPr>
        <w:t xml:space="preserve"> Calle o carrera con mayor jerarquía.</w:t>
      </w:r>
    </w:p>
    <w:p w14:paraId="0000005E" w14:textId="77777777" w:rsidR="0036083F" w:rsidRDefault="0011228F">
      <w:pPr>
        <w:numPr>
          <w:ilvl w:val="0"/>
          <w:numId w:val="21"/>
        </w:numPr>
        <w:jc w:val="both"/>
      </w:pPr>
      <w:r>
        <w:rPr>
          <w:rFonts w:ascii="Arial" w:eastAsia="Arial" w:hAnsi="Arial" w:cs="Arial"/>
          <w:b/>
          <w:bCs/>
        </w:rPr>
        <w:t>Diagonal:</w:t>
      </w:r>
      <w:r>
        <w:rPr>
          <w:rFonts w:ascii="Arial" w:eastAsia="Arial" w:hAnsi="Arial" w:cs="Arial"/>
        </w:rPr>
        <w:t xml:space="preserve"> Vía que forma un ángulo entre 22,5° y 45° respecto a una calle.</w:t>
      </w:r>
    </w:p>
    <w:p w14:paraId="0000005F" w14:textId="77777777" w:rsidR="0036083F" w:rsidRDefault="0011228F">
      <w:pPr>
        <w:numPr>
          <w:ilvl w:val="0"/>
          <w:numId w:val="21"/>
        </w:numPr>
        <w:jc w:val="both"/>
      </w:pPr>
      <w:r>
        <w:rPr>
          <w:rFonts w:ascii="Arial" w:eastAsia="Arial" w:hAnsi="Arial" w:cs="Arial"/>
          <w:b/>
          <w:bCs/>
        </w:rPr>
        <w:t>Transversal:</w:t>
      </w:r>
      <w:r>
        <w:rPr>
          <w:rFonts w:ascii="Arial" w:eastAsia="Arial" w:hAnsi="Arial" w:cs="Arial"/>
        </w:rPr>
        <w:t xml:space="preserve"> Vía que forma un ángulo entre 22,5° y 45° respecto a una carrera.</w:t>
      </w:r>
    </w:p>
    <w:p w14:paraId="00000060" w14:textId="77777777" w:rsidR="0036083F" w:rsidRDefault="0011228F">
      <w:pPr>
        <w:numPr>
          <w:ilvl w:val="0"/>
          <w:numId w:val="21"/>
        </w:numPr>
        <w:jc w:val="both"/>
      </w:pPr>
      <w:r>
        <w:rPr>
          <w:rFonts w:ascii="Arial" w:eastAsia="Arial" w:hAnsi="Arial" w:cs="Arial"/>
          <w:b/>
          <w:bCs/>
        </w:rPr>
        <w:t>Vía peatonal:</w:t>
      </w:r>
      <w:r>
        <w:rPr>
          <w:rFonts w:ascii="Arial" w:eastAsia="Arial" w:hAnsi="Arial" w:cs="Arial"/>
        </w:rPr>
        <w:t xml:space="preserve"> Espacio exclusivo para tránsito de personas.</w:t>
      </w:r>
    </w:p>
    <w:p w14:paraId="00000061" w14:textId="77777777" w:rsidR="0036083F" w:rsidRDefault="0011228F">
      <w:pPr>
        <w:numPr>
          <w:ilvl w:val="0"/>
          <w:numId w:val="21"/>
        </w:numPr>
        <w:jc w:val="both"/>
      </w:pPr>
      <w:r>
        <w:rPr>
          <w:rFonts w:ascii="Arial" w:eastAsia="Arial" w:hAnsi="Arial" w:cs="Arial"/>
          <w:b/>
          <w:bCs/>
        </w:rPr>
        <w:t>Vía vehicular:</w:t>
      </w:r>
      <w:r>
        <w:rPr>
          <w:rFonts w:ascii="Arial" w:eastAsia="Arial" w:hAnsi="Arial" w:cs="Arial"/>
        </w:rPr>
        <w:t xml:space="preserve"> Espacio destinado a la circulación de vehículos.</w:t>
      </w:r>
    </w:p>
    <w:p w14:paraId="00000062" w14:textId="77777777" w:rsidR="0036083F" w:rsidRDefault="0011228F">
      <w:pPr>
        <w:numPr>
          <w:ilvl w:val="0"/>
          <w:numId w:val="21"/>
        </w:numPr>
        <w:jc w:val="both"/>
      </w:pPr>
      <w:r>
        <w:rPr>
          <w:rFonts w:ascii="Arial" w:eastAsia="Arial" w:hAnsi="Arial" w:cs="Arial"/>
          <w:b/>
          <w:bCs/>
        </w:rPr>
        <w:t>Tipo de vía:</w:t>
      </w:r>
      <w:r>
        <w:rPr>
          <w:rFonts w:ascii="Arial" w:eastAsia="Arial" w:hAnsi="Arial" w:cs="Arial"/>
        </w:rPr>
        <w:t xml:space="preserve"> Clasificación funcional y geométrica de una vía.</w:t>
      </w:r>
    </w:p>
    <w:p w14:paraId="00000063" w14:textId="77777777" w:rsidR="0036083F" w:rsidRDefault="0011228F">
      <w:pPr>
        <w:jc w:val="both"/>
        <w:rPr>
          <w:rFonts w:ascii="Arial" w:eastAsia="Arial" w:hAnsi="Arial" w:cs="Arial"/>
        </w:rPr>
      </w:pPr>
      <w:r>
        <w:rPr>
          <w:rFonts w:ascii="Arial" w:eastAsia="Arial" w:hAnsi="Arial" w:cs="Arial"/>
          <w:b/>
          <w:bCs/>
        </w:rPr>
        <w:t>E. Unidad territorial</w:t>
      </w:r>
    </w:p>
    <w:p w14:paraId="00000064" w14:textId="77777777" w:rsidR="0036083F" w:rsidRDefault="0011228F">
      <w:pPr>
        <w:numPr>
          <w:ilvl w:val="0"/>
          <w:numId w:val="22"/>
        </w:numPr>
        <w:jc w:val="both"/>
      </w:pPr>
      <w:r>
        <w:rPr>
          <w:rFonts w:ascii="Arial" w:eastAsia="Arial" w:hAnsi="Arial" w:cs="Arial"/>
          <w:b/>
          <w:bCs/>
        </w:rPr>
        <w:t>Predio</w:t>
      </w:r>
      <w:r>
        <w:rPr>
          <w:rFonts w:ascii="Arial" w:eastAsia="Arial" w:hAnsi="Arial" w:cs="Arial"/>
        </w:rPr>
        <w:t xml:space="preserve">: para efecto de la administración de nomenclatura domiciliaria es la </w:t>
      </w:r>
      <w:r>
        <w:rPr>
          <w:rFonts w:ascii="Arial" w:eastAsia="Arial" w:hAnsi="Arial" w:cs="Arial"/>
          <w:b/>
          <w:bCs/>
        </w:rPr>
        <w:t xml:space="preserve"> </w:t>
      </w:r>
      <w:r>
        <w:rPr>
          <w:rFonts w:ascii="Arial" w:eastAsia="Arial" w:hAnsi="Arial" w:cs="Arial"/>
        </w:rPr>
        <w:t xml:space="preserve"> Unidad mínima de análisis catastral, con o sin edificación.</w:t>
      </w:r>
    </w:p>
    <w:p w14:paraId="00000066" w14:textId="77777777" w:rsidR="0036083F" w:rsidRDefault="0036083F">
      <w:pPr>
        <w:jc w:val="both"/>
        <w:rPr>
          <w:rFonts w:ascii="Arial" w:eastAsia="Arial" w:hAnsi="Arial" w:cs="Arial"/>
        </w:rPr>
      </w:pPr>
    </w:p>
    <w:p w14:paraId="00000067" w14:textId="77777777" w:rsidR="0036083F" w:rsidRDefault="0011228F">
      <w:pPr>
        <w:ind w:left="720"/>
        <w:jc w:val="center"/>
        <w:rPr>
          <w:rFonts w:ascii="Arial" w:eastAsia="Arial" w:hAnsi="Arial" w:cs="Arial"/>
          <w:b/>
          <w:bCs/>
        </w:rPr>
      </w:pPr>
      <w:r>
        <w:rPr>
          <w:rFonts w:ascii="Arial" w:eastAsia="Arial" w:hAnsi="Arial" w:cs="Arial"/>
          <w:b/>
          <w:bCs/>
        </w:rPr>
        <w:t>CAPÍTULO II – OBJETO, ALCANCE Y PRINCIPIOS</w:t>
      </w:r>
    </w:p>
    <w:p w14:paraId="00000068" w14:textId="77777777" w:rsidR="0036083F" w:rsidRDefault="0036083F">
      <w:pPr>
        <w:ind w:left="720"/>
        <w:jc w:val="both"/>
        <w:rPr>
          <w:rFonts w:ascii="Arial" w:eastAsia="Arial" w:hAnsi="Arial" w:cs="Arial"/>
          <w:b/>
          <w:bCs/>
        </w:rPr>
      </w:pPr>
    </w:p>
    <w:p w14:paraId="00000069" w14:textId="14917301" w:rsidR="0036083F" w:rsidRDefault="0011228F">
      <w:pPr>
        <w:jc w:val="both"/>
        <w:rPr>
          <w:rFonts w:ascii="Arial" w:eastAsia="Arial" w:hAnsi="Arial" w:cs="Arial"/>
        </w:rPr>
      </w:pPr>
      <w:r>
        <w:rPr>
          <w:rFonts w:ascii="Arial" w:eastAsia="Arial" w:hAnsi="Arial" w:cs="Arial"/>
          <w:b/>
          <w:bCs/>
        </w:rPr>
        <w:t xml:space="preserve">Artículo 2. Objeto. </w:t>
      </w:r>
      <w:proofErr w:type="spellStart"/>
      <w:r>
        <w:rPr>
          <w:rFonts w:ascii="Arial" w:eastAsia="Arial" w:hAnsi="Arial" w:cs="Arial"/>
        </w:rPr>
        <w:t>Adóptase</w:t>
      </w:r>
      <w:proofErr w:type="spellEnd"/>
      <w:r>
        <w:rPr>
          <w:rFonts w:ascii="Arial" w:eastAsia="Arial" w:hAnsi="Arial" w:cs="Arial"/>
        </w:rPr>
        <w:t xml:space="preserve">, formalizase y reglamentase, el sistema de nomenclatura vial y domiciliaria del Municipio de [Nombre del Municipio], con el fin de garantizar la identificación oficial, única, precisa, trazable e interoperable de las </w:t>
      </w:r>
      <w:r>
        <w:rPr>
          <w:rFonts w:ascii="Arial" w:eastAsia="Arial" w:hAnsi="Arial" w:cs="Arial"/>
        </w:rPr>
        <w:lastRenderedPageBreak/>
        <w:t>vías y predios ubicados dentro del área urbana del territorio municipal</w:t>
      </w:r>
      <w:r w:rsidR="006A5009">
        <w:rPr>
          <w:rFonts w:ascii="Arial" w:eastAsia="Arial" w:hAnsi="Arial" w:cs="Arial"/>
        </w:rPr>
        <w:t xml:space="preserve"> y los centros poblados</w:t>
      </w:r>
      <w:r>
        <w:rPr>
          <w:rFonts w:ascii="Arial" w:eastAsia="Arial" w:hAnsi="Arial" w:cs="Arial"/>
        </w:rPr>
        <w:t>.</w:t>
      </w:r>
    </w:p>
    <w:p w14:paraId="0000006A" w14:textId="09468614" w:rsidR="0036083F" w:rsidRDefault="0011228F">
      <w:pPr>
        <w:jc w:val="both"/>
        <w:rPr>
          <w:rFonts w:ascii="Arial" w:eastAsia="Arial" w:hAnsi="Arial" w:cs="Arial"/>
        </w:rPr>
      </w:pPr>
      <w:r>
        <w:rPr>
          <w:rFonts w:ascii="Arial" w:eastAsia="Arial" w:hAnsi="Arial" w:cs="Arial"/>
          <w:b/>
          <w:bCs/>
        </w:rPr>
        <w:t xml:space="preserve">Artículo 3. Alcance. </w:t>
      </w:r>
      <w:r>
        <w:rPr>
          <w:rFonts w:ascii="Arial" w:eastAsia="Arial" w:hAnsi="Arial" w:cs="Arial"/>
        </w:rPr>
        <w:t>Las disposiciones contenidas en este Acuerdo aplican a la totalidad del perímetro urbano del municipio de [Nombre del Municipio]</w:t>
      </w:r>
      <w:r w:rsidR="00B404AD">
        <w:rPr>
          <w:rFonts w:ascii="Arial" w:eastAsia="Arial" w:hAnsi="Arial" w:cs="Arial"/>
        </w:rPr>
        <w:t xml:space="preserve"> y sus </w:t>
      </w:r>
      <w:r w:rsidR="00A315B4">
        <w:rPr>
          <w:rFonts w:ascii="Arial" w:eastAsia="Arial" w:hAnsi="Arial" w:cs="Arial"/>
        </w:rPr>
        <w:t>centros</w:t>
      </w:r>
      <w:r w:rsidR="00B404AD">
        <w:rPr>
          <w:rFonts w:ascii="Arial" w:eastAsia="Arial" w:hAnsi="Arial" w:cs="Arial"/>
        </w:rPr>
        <w:t xml:space="preserve"> poblados</w:t>
      </w:r>
      <w:r>
        <w:rPr>
          <w:rFonts w:ascii="Arial" w:eastAsia="Arial" w:hAnsi="Arial" w:cs="Arial"/>
        </w:rPr>
        <w:t xml:space="preserve"> y serán de obligatorio cumplimiento para todas las entidades públicas y privadas que hagan uso de la información territorial, así como para los propietarios, poseedores y residentes de los predios ubicados en dicha área.</w:t>
      </w:r>
    </w:p>
    <w:p w14:paraId="0000006B" w14:textId="7E4664B7" w:rsidR="0036083F" w:rsidRDefault="0011228F">
      <w:pPr>
        <w:jc w:val="both"/>
        <w:rPr>
          <w:rFonts w:ascii="Arial" w:eastAsia="Arial" w:hAnsi="Arial" w:cs="Arial"/>
        </w:rPr>
      </w:pPr>
      <w:r>
        <w:rPr>
          <w:rFonts w:ascii="Arial" w:eastAsia="Arial" w:hAnsi="Arial" w:cs="Arial"/>
        </w:rPr>
        <w:t>El presente sistema será igualmente referente técnico para la planeación y gestión de la nomenclatura en los centros poblados, conforme a la capacidad técnica y administrativa del municipio.</w:t>
      </w:r>
    </w:p>
    <w:p w14:paraId="0000006C" w14:textId="77777777" w:rsidR="0036083F" w:rsidRDefault="0011228F">
      <w:pPr>
        <w:jc w:val="both"/>
        <w:rPr>
          <w:rFonts w:ascii="Arial" w:eastAsia="Arial" w:hAnsi="Arial" w:cs="Arial"/>
        </w:rPr>
      </w:pPr>
      <w:r>
        <w:rPr>
          <w:rFonts w:ascii="Arial" w:eastAsia="Arial" w:hAnsi="Arial" w:cs="Arial"/>
          <w:b/>
          <w:bCs/>
        </w:rPr>
        <w:t xml:space="preserve">Artículo 4. Principios rectores. </w:t>
      </w:r>
      <w:r>
        <w:rPr>
          <w:rFonts w:ascii="Arial" w:eastAsia="Arial" w:hAnsi="Arial" w:cs="Arial"/>
        </w:rPr>
        <w:t>La gestión de la nomenclatura vial y domiciliaria en el municipio se orienta por los siguientes principios:</w:t>
      </w:r>
    </w:p>
    <w:p w14:paraId="0000006D" w14:textId="77777777" w:rsidR="0036083F" w:rsidRDefault="0011228F">
      <w:pPr>
        <w:numPr>
          <w:ilvl w:val="0"/>
          <w:numId w:val="8"/>
        </w:numPr>
        <w:spacing w:after="0"/>
        <w:jc w:val="both"/>
        <w:rPr>
          <w:rFonts w:ascii="Arial" w:eastAsia="Arial" w:hAnsi="Arial" w:cs="Arial"/>
        </w:rPr>
      </w:pPr>
      <w:r>
        <w:rPr>
          <w:rFonts w:ascii="Arial" w:eastAsia="Arial" w:hAnsi="Arial" w:cs="Arial"/>
          <w:b/>
          <w:bCs/>
        </w:rPr>
        <w:t>Legalidad:</w:t>
      </w:r>
      <w:r>
        <w:rPr>
          <w:rFonts w:ascii="Arial" w:eastAsia="Arial" w:hAnsi="Arial" w:cs="Arial"/>
        </w:rPr>
        <w:t xml:space="preserve"> Todas las actuaciones relacionadas con la nomenclatura se ajustan al marco normativo vigente y a las competencias asignadas a la administración municipal.</w:t>
      </w:r>
    </w:p>
    <w:p w14:paraId="0000006E" w14:textId="77777777" w:rsidR="0036083F" w:rsidRDefault="0011228F">
      <w:pPr>
        <w:numPr>
          <w:ilvl w:val="0"/>
          <w:numId w:val="8"/>
        </w:numPr>
        <w:spacing w:after="0"/>
        <w:jc w:val="both"/>
        <w:rPr>
          <w:rFonts w:ascii="Arial" w:eastAsia="Arial" w:hAnsi="Arial" w:cs="Arial"/>
        </w:rPr>
      </w:pPr>
      <w:r>
        <w:rPr>
          <w:rFonts w:ascii="Arial" w:eastAsia="Arial" w:hAnsi="Arial" w:cs="Arial"/>
          <w:b/>
          <w:bCs/>
        </w:rPr>
        <w:t>Planeación:</w:t>
      </w:r>
      <w:r>
        <w:rPr>
          <w:rFonts w:ascii="Arial" w:eastAsia="Arial" w:hAnsi="Arial" w:cs="Arial"/>
        </w:rPr>
        <w:t xml:space="preserve"> La asignación, actualización y administración de la nomenclatura se articula con los instrumentos de ordenamiento territorial y de planificación urbana.</w:t>
      </w:r>
    </w:p>
    <w:p w14:paraId="0000006F" w14:textId="77777777" w:rsidR="0036083F" w:rsidRDefault="0011228F">
      <w:pPr>
        <w:numPr>
          <w:ilvl w:val="0"/>
          <w:numId w:val="8"/>
        </w:numPr>
        <w:spacing w:after="0"/>
        <w:jc w:val="both"/>
        <w:rPr>
          <w:rFonts w:ascii="Arial" w:eastAsia="Arial" w:hAnsi="Arial" w:cs="Arial"/>
          <w:color w:val="000000"/>
        </w:rPr>
      </w:pPr>
      <w:r>
        <w:rPr>
          <w:rFonts w:ascii="Arial" w:eastAsia="Arial" w:hAnsi="Arial" w:cs="Arial"/>
          <w:b/>
          <w:bCs/>
          <w:color w:val="000000"/>
        </w:rPr>
        <w:t>Unicidad:</w:t>
      </w:r>
      <w:r>
        <w:rPr>
          <w:rFonts w:ascii="Arial" w:eastAsia="Arial" w:hAnsi="Arial" w:cs="Arial"/>
          <w:color w:val="000000"/>
        </w:rPr>
        <w:t xml:space="preserve"> Cada vía y predio debe contar con una única nomenclatura oficial, sin duplicidades ni ambigüedades.</w:t>
      </w:r>
    </w:p>
    <w:p w14:paraId="00000070" w14:textId="77777777" w:rsidR="0036083F" w:rsidRDefault="0011228F">
      <w:pPr>
        <w:numPr>
          <w:ilvl w:val="0"/>
          <w:numId w:val="8"/>
        </w:numPr>
        <w:spacing w:after="0"/>
        <w:jc w:val="both"/>
        <w:rPr>
          <w:rFonts w:ascii="Arial" w:eastAsia="Arial" w:hAnsi="Arial" w:cs="Arial"/>
          <w:color w:val="000000"/>
        </w:rPr>
      </w:pPr>
      <w:r>
        <w:rPr>
          <w:rFonts w:ascii="Arial" w:eastAsia="Arial" w:hAnsi="Arial" w:cs="Arial"/>
          <w:b/>
          <w:bCs/>
          <w:color w:val="000000"/>
        </w:rPr>
        <w:t>Claridad:</w:t>
      </w:r>
      <w:r>
        <w:rPr>
          <w:rFonts w:ascii="Arial" w:eastAsia="Arial" w:hAnsi="Arial" w:cs="Arial"/>
          <w:color w:val="000000"/>
        </w:rPr>
        <w:t xml:space="preserve"> La nomenclatura debe permitir la fácil comprensión y localización por parte de la ciudadanía y las entidades.</w:t>
      </w:r>
    </w:p>
    <w:p w14:paraId="00000071" w14:textId="77777777" w:rsidR="0036083F" w:rsidRDefault="0011228F">
      <w:pPr>
        <w:numPr>
          <w:ilvl w:val="0"/>
          <w:numId w:val="8"/>
        </w:numPr>
        <w:pBdr>
          <w:top w:val="nil"/>
          <w:left w:val="nil"/>
          <w:bottom w:val="nil"/>
          <w:right w:val="nil"/>
          <w:between w:val="nil"/>
        </w:pBdr>
        <w:spacing w:after="0"/>
        <w:jc w:val="both"/>
        <w:rPr>
          <w:rFonts w:ascii="Arial" w:eastAsia="Arial" w:hAnsi="Arial" w:cs="Arial"/>
          <w:color w:val="000000"/>
        </w:rPr>
      </w:pPr>
      <w:r>
        <w:rPr>
          <w:rFonts w:ascii="Arial" w:eastAsia="Arial" w:hAnsi="Arial" w:cs="Arial"/>
          <w:b/>
          <w:bCs/>
          <w:color w:val="000000"/>
        </w:rPr>
        <w:t>Precisión:</w:t>
      </w:r>
      <w:r>
        <w:rPr>
          <w:rFonts w:ascii="Arial" w:eastAsia="Arial" w:hAnsi="Arial" w:cs="Arial"/>
          <w:color w:val="000000"/>
        </w:rPr>
        <w:t xml:space="preserve"> La asignación debe reflejar con exactitud la ubicación física del acceso y su relación con la malla vial.</w:t>
      </w:r>
    </w:p>
    <w:p w14:paraId="00000072" w14:textId="77777777" w:rsidR="0036083F" w:rsidRDefault="0011228F">
      <w:pPr>
        <w:numPr>
          <w:ilvl w:val="0"/>
          <w:numId w:val="8"/>
        </w:numPr>
        <w:pBdr>
          <w:top w:val="nil"/>
          <w:left w:val="nil"/>
          <w:bottom w:val="nil"/>
          <w:right w:val="nil"/>
          <w:between w:val="nil"/>
        </w:pBdr>
        <w:spacing w:after="0"/>
        <w:jc w:val="both"/>
        <w:rPr>
          <w:rFonts w:ascii="Arial" w:eastAsia="Arial" w:hAnsi="Arial" w:cs="Arial"/>
        </w:rPr>
      </w:pPr>
      <w:r>
        <w:rPr>
          <w:rFonts w:ascii="Arial" w:eastAsia="Arial" w:hAnsi="Arial" w:cs="Arial"/>
          <w:b/>
          <w:bCs/>
        </w:rPr>
        <w:t>Actualización permanente:</w:t>
      </w:r>
      <w:r>
        <w:rPr>
          <w:rFonts w:ascii="Arial" w:eastAsia="Arial" w:hAnsi="Arial" w:cs="Arial"/>
        </w:rPr>
        <w:t xml:space="preserve"> La información de nomenclatura debe mantenerse actualizada y coherente con las transformaciones urbanas del municipio.</w:t>
      </w:r>
    </w:p>
    <w:p w14:paraId="00000073" w14:textId="77777777" w:rsidR="0036083F" w:rsidRDefault="0011228F">
      <w:pPr>
        <w:numPr>
          <w:ilvl w:val="0"/>
          <w:numId w:val="8"/>
        </w:numPr>
        <w:pBdr>
          <w:top w:val="nil"/>
          <w:left w:val="nil"/>
          <w:bottom w:val="nil"/>
          <w:right w:val="nil"/>
          <w:between w:val="nil"/>
        </w:pBdr>
        <w:spacing w:after="0"/>
        <w:jc w:val="both"/>
        <w:rPr>
          <w:rFonts w:ascii="Arial" w:eastAsia="Arial" w:hAnsi="Arial" w:cs="Arial"/>
          <w:color w:val="000000"/>
        </w:rPr>
      </w:pPr>
      <w:r>
        <w:rPr>
          <w:rFonts w:ascii="Arial" w:eastAsia="Arial" w:hAnsi="Arial" w:cs="Arial"/>
          <w:b/>
          <w:bCs/>
          <w:color w:val="000000"/>
        </w:rPr>
        <w:t xml:space="preserve">Interoperabilidad: </w:t>
      </w:r>
      <w:r>
        <w:rPr>
          <w:rFonts w:ascii="Arial" w:eastAsia="Arial" w:hAnsi="Arial" w:cs="Arial"/>
          <w:color w:val="000000"/>
        </w:rPr>
        <w:t>El sistema debe facilitar el intercambio de información con gestores catastrales, empresas de servicios públicos y entidades del orden nacional.</w:t>
      </w:r>
    </w:p>
    <w:p w14:paraId="00000074" w14:textId="77777777" w:rsidR="0036083F" w:rsidRDefault="0011228F">
      <w:pPr>
        <w:numPr>
          <w:ilvl w:val="0"/>
          <w:numId w:val="8"/>
        </w:numPr>
        <w:pBdr>
          <w:top w:val="nil"/>
          <w:left w:val="nil"/>
          <w:bottom w:val="nil"/>
          <w:right w:val="nil"/>
          <w:between w:val="nil"/>
        </w:pBdr>
        <w:spacing w:after="0"/>
        <w:jc w:val="both"/>
        <w:rPr>
          <w:rFonts w:ascii="Arial" w:eastAsia="Arial" w:hAnsi="Arial" w:cs="Arial"/>
          <w:color w:val="000000"/>
        </w:rPr>
      </w:pPr>
      <w:r>
        <w:rPr>
          <w:rFonts w:ascii="Arial" w:eastAsia="Arial" w:hAnsi="Arial" w:cs="Arial"/>
          <w:b/>
          <w:bCs/>
          <w:color w:val="000000"/>
        </w:rPr>
        <w:t>Trazabilidad</w:t>
      </w:r>
      <w:r>
        <w:rPr>
          <w:rFonts w:ascii="Arial" w:eastAsia="Arial" w:hAnsi="Arial" w:cs="Arial"/>
          <w:color w:val="000000"/>
        </w:rPr>
        <w:t>: Toda asignación, ajuste o modificación debe estar respaldada por actos administrativos y registros técnicos verificables.</w:t>
      </w:r>
    </w:p>
    <w:p w14:paraId="00000075" w14:textId="77777777" w:rsidR="0036083F" w:rsidRDefault="0011228F">
      <w:pPr>
        <w:numPr>
          <w:ilvl w:val="0"/>
          <w:numId w:val="8"/>
        </w:numPr>
        <w:pBdr>
          <w:top w:val="nil"/>
          <w:left w:val="nil"/>
          <w:bottom w:val="nil"/>
          <w:right w:val="nil"/>
          <w:between w:val="nil"/>
        </w:pBdr>
        <w:spacing w:after="0"/>
        <w:jc w:val="both"/>
        <w:rPr>
          <w:rFonts w:ascii="Arial" w:eastAsia="Arial" w:hAnsi="Arial" w:cs="Arial"/>
          <w:color w:val="000000"/>
        </w:rPr>
      </w:pPr>
      <w:r>
        <w:rPr>
          <w:rFonts w:ascii="Arial" w:eastAsia="Arial" w:hAnsi="Arial" w:cs="Arial"/>
          <w:b/>
          <w:bCs/>
          <w:color w:val="000000"/>
        </w:rPr>
        <w:t>Oficialidad</w:t>
      </w:r>
      <w:r>
        <w:rPr>
          <w:rFonts w:ascii="Arial" w:eastAsia="Arial" w:hAnsi="Arial" w:cs="Arial"/>
          <w:color w:val="000000"/>
        </w:rPr>
        <w:t>: La nomenclatura asignada conforme al presente Acuerdo constituye la única válida para efectos administrativos, registrales y de prestación de servicios.</w:t>
      </w:r>
    </w:p>
    <w:p w14:paraId="00000076" w14:textId="77777777" w:rsidR="0036083F" w:rsidRDefault="0011228F">
      <w:pPr>
        <w:numPr>
          <w:ilvl w:val="0"/>
          <w:numId w:val="8"/>
        </w:numPr>
        <w:spacing w:after="0"/>
        <w:jc w:val="both"/>
        <w:rPr>
          <w:rFonts w:ascii="Arial" w:eastAsia="Arial" w:hAnsi="Arial" w:cs="Arial"/>
        </w:rPr>
      </w:pPr>
      <w:r>
        <w:rPr>
          <w:rFonts w:ascii="Arial" w:eastAsia="Arial" w:hAnsi="Arial" w:cs="Arial"/>
          <w:b/>
          <w:bCs/>
        </w:rPr>
        <w:t>Accesibilidad:</w:t>
      </w:r>
      <w:r>
        <w:rPr>
          <w:rFonts w:ascii="Arial" w:eastAsia="Arial" w:hAnsi="Arial" w:cs="Arial"/>
        </w:rPr>
        <w:t xml:space="preserve"> La información sobre nomenclatura debe estar disponible para la ciudadanía a través de medios digitales y canales institucionales.</w:t>
      </w:r>
    </w:p>
    <w:p w14:paraId="00000077" w14:textId="77777777" w:rsidR="0036083F" w:rsidRDefault="0011228F">
      <w:pPr>
        <w:numPr>
          <w:ilvl w:val="0"/>
          <w:numId w:val="8"/>
        </w:numPr>
        <w:jc w:val="both"/>
        <w:rPr>
          <w:rFonts w:ascii="Arial" w:eastAsia="Arial" w:hAnsi="Arial" w:cs="Arial"/>
        </w:rPr>
      </w:pPr>
      <w:r>
        <w:rPr>
          <w:rFonts w:ascii="Arial" w:eastAsia="Arial" w:hAnsi="Arial" w:cs="Arial"/>
          <w:b/>
          <w:bCs/>
        </w:rPr>
        <w:lastRenderedPageBreak/>
        <w:t>Identidad Territorial:</w:t>
      </w:r>
      <w:r>
        <w:rPr>
          <w:rFonts w:ascii="Arial" w:eastAsia="Arial" w:hAnsi="Arial" w:cs="Arial"/>
        </w:rPr>
        <w:t xml:space="preserve"> La nomenclatura reconocerá la historia, la cultura y las particularidades territoriales del municipio, cuando ello sea compatible con los criterios técnicos y de estandarización.</w:t>
      </w:r>
    </w:p>
    <w:p w14:paraId="00000078" w14:textId="77777777" w:rsidR="0036083F" w:rsidRDefault="0036083F">
      <w:pPr>
        <w:ind w:left="720"/>
        <w:jc w:val="both"/>
        <w:rPr>
          <w:rFonts w:ascii="Arial" w:eastAsia="Arial" w:hAnsi="Arial" w:cs="Arial"/>
        </w:rPr>
      </w:pPr>
    </w:p>
    <w:p w14:paraId="00000079" w14:textId="77777777" w:rsidR="0036083F" w:rsidRPr="00EC07A8" w:rsidRDefault="0011228F">
      <w:pPr>
        <w:ind w:left="720"/>
        <w:jc w:val="center"/>
        <w:rPr>
          <w:rFonts w:ascii="Arial" w:eastAsia="Arial" w:hAnsi="Arial" w:cs="Arial"/>
          <w:b/>
          <w:bCs/>
        </w:rPr>
      </w:pPr>
      <w:r w:rsidRPr="00EC07A8">
        <w:rPr>
          <w:rFonts w:ascii="Arial" w:eastAsia="Arial" w:hAnsi="Arial" w:cs="Arial"/>
          <w:b/>
          <w:bCs/>
        </w:rPr>
        <w:t>CAPÍTULO III – EJES ESTRUCTURANTES Y ZONAS UNIFICADAS DE NOMENCLATURA URBANA (ZUNU)</w:t>
      </w:r>
    </w:p>
    <w:p w14:paraId="3FDBDF67" w14:textId="71926263" w:rsidR="00281262" w:rsidRPr="00EC07A8" w:rsidRDefault="0011228F" w:rsidP="00D673CD">
      <w:pPr>
        <w:jc w:val="both"/>
        <w:rPr>
          <w:rFonts w:ascii="Arial" w:eastAsia="Arial" w:hAnsi="Arial" w:cs="Arial"/>
        </w:rPr>
      </w:pPr>
      <w:r w:rsidRPr="00EC07A8">
        <w:rPr>
          <w:rFonts w:ascii="Arial" w:eastAsia="Arial" w:hAnsi="Arial" w:cs="Arial"/>
          <w:b/>
          <w:bCs/>
        </w:rPr>
        <w:t>Artículo 5. Ejes estructurantes del municipio de [Nombre del Municipio]</w:t>
      </w:r>
      <w:r w:rsidR="00D673CD" w:rsidRPr="00EC07A8">
        <w:rPr>
          <w:rFonts w:ascii="Arial" w:eastAsia="Arial" w:hAnsi="Arial" w:cs="Arial"/>
          <w:b/>
          <w:bCs/>
        </w:rPr>
        <w:t xml:space="preserve">. </w:t>
      </w:r>
      <w:r w:rsidRPr="00EC07A8">
        <w:rPr>
          <w:rFonts w:ascii="Arial" w:eastAsia="Arial" w:hAnsi="Arial" w:cs="Arial"/>
        </w:rPr>
        <w:t xml:space="preserve">Los ejes estructurantes son las vías principales que delimitan zonas dentro del perímetro urbano </w:t>
      </w:r>
      <w:r w:rsidR="00B57DC9">
        <w:rPr>
          <w:rFonts w:ascii="Arial" w:eastAsia="Arial" w:hAnsi="Arial" w:cs="Arial"/>
        </w:rPr>
        <w:t>que</w:t>
      </w:r>
      <w:r w:rsidRPr="00EC07A8">
        <w:rPr>
          <w:rFonts w:ascii="Arial" w:eastAsia="Arial" w:hAnsi="Arial" w:cs="Arial"/>
        </w:rPr>
        <w:t xml:space="preserve"> orientan la lógica de la numeración vial. </w:t>
      </w:r>
      <w:r w:rsidR="0087241F" w:rsidRPr="00EC07A8">
        <w:rPr>
          <w:rFonts w:ascii="Arial" w:eastAsia="Arial" w:hAnsi="Arial" w:cs="Arial"/>
          <w:b/>
          <w:bCs/>
          <w:i/>
          <w:iCs/>
        </w:rPr>
        <w:t>(</w:t>
      </w:r>
      <w:r w:rsidRPr="00EC07A8">
        <w:rPr>
          <w:rFonts w:ascii="Arial" w:eastAsia="Arial" w:hAnsi="Arial" w:cs="Arial"/>
          <w:b/>
          <w:bCs/>
          <w:i/>
          <w:iCs/>
        </w:rPr>
        <w:t>Cada uno de los ejes que conforman la estructura principal de la malla vial del municipio deberá ser descrito detalladamente en el presente Acuerdo, indicando su denominación, localización, trazado, características relevantes y función dentro del sistema urbano.</w:t>
      </w:r>
      <w:r w:rsidR="0087241F" w:rsidRPr="00EC07A8">
        <w:rPr>
          <w:rFonts w:ascii="Arial" w:eastAsia="Arial" w:hAnsi="Arial" w:cs="Arial"/>
          <w:b/>
          <w:bCs/>
          <w:i/>
          <w:iCs/>
        </w:rPr>
        <w:t>)</w:t>
      </w:r>
      <w:r w:rsidRPr="00EC07A8">
        <w:rPr>
          <w:rFonts w:ascii="Arial" w:eastAsia="Arial" w:hAnsi="Arial" w:cs="Arial"/>
        </w:rPr>
        <w:t xml:space="preserve"> </w:t>
      </w:r>
    </w:p>
    <w:p w14:paraId="0000007B" w14:textId="44C4757C" w:rsidR="0036083F" w:rsidRDefault="0011228F" w:rsidP="00D673CD">
      <w:pPr>
        <w:jc w:val="both"/>
        <w:rPr>
          <w:rFonts w:ascii="Arial" w:eastAsia="Arial" w:hAnsi="Arial" w:cs="Arial"/>
        </w:rPr>
      </w:pPr>
      <w:r w:rsidRPr="00EC07A8">
        <w:rPr>
          <w:rFonts w:ascii="Arial" w:eastAsia="Arial" w:hAnsi="Arial" w:cs="Arial"/>
        </w:rPr>
        <w:t xml:space="preserve">La ubicación, el recorrido y los atributos técnicos de estos ejes se encuentran representados en el </w:t>
      </w:r>
      <w:r w:rsidRPr="00EC07A8">
        <w:rPr>
          <w:rFonts w:ascii="Arial" w:eastAsia="Arial" w:hAnsi="Arial" w:cs="Arial"/>
          <w:b/>
          <w:bCs/>
        </w:rPr>
        <w:t>Mapa Oficial de Ejes Estructurantes</w:t>
      </w:r>
      <w:r w:rsidRPr="00EC07A8">
        <w:rPr>
          <w:rFonts w:ascii="Arial" w:eastAsia="Arial" w:hAnsi="Arial" w:cs="Arial"/>
        </w:rPr>
        <w:t xml:space="preserve">, el cual forma parte integral del presente Acuerdo como </w:t>
      </w:r>
      <w:r w:rsidRPr="00EC07A8">
        <w:rPr>
          <w:rFonts w:ascii="Arial" w:eastAsia="Arial" w:hAnsi="Arial" w:cs="Arial"/>
          <w:b/>
          <w:bCs/>
        </w:rPr>
        <w:t>Anexo Técnico 1</w:t>
      </w:r>
      <w:r w:rsidRPr="00EC07A8">
        <w:rPr>
          <w:rFonts w:ascii="Arial" w:eastAsia="Arial" w:hAnsi="Arial" w:cs="Arial"/>
        </w:rPr>
        <w:t>.</w:t>
      </w:r>
    </w:p>
    <w:p w14:paraId="0000007C" w14:textId="0119BD39" w:rsidR="0036083F" w:rsidRDefault="0011228F">
      <w:pPr>
        <w:spacing w:before="240" w:after="240"/>
        <w:jc w:val="both"/>
        <w:rPr>
          <w:rFonts w:ascii="Arial" w:eastAsia="Arial" w:hAnsi="Arial" w:cs="Arial"/>
        </w:rPr>
      </w:pPr>
      <w:r>
        <w:rPr>
          <w:rFonts w:ascii="Arial" w:eastAsia="Arial" w:hAnsi="Arial" w:cs="Arial"/>
        </w:rPr>
        <w:t>Para efectos de la aplicación del presente acuerdo, se considera que el área urbana del municipio no está conformada únicamente por la cabecera municipal principal, sino también por los centros poblados que cuenten con delimitación oficial. Dichos centros poblados podrán requerir, o ya disponer, de nomenclatura vial y domiciliaria; por consiguiente, resulta indispensable su adecuada definición, inclusión y representación tanto en este acto administrativo como en los anexos cartográficos correspondientes.</w:t>
      </w:r>
    </w:p>
    <w:p w14:paraId="0000007D" w14:textId="0CD7BE1B" w:rsidR="0036083F" w:rsidRPr="00181D96" w:rsidRDefault="0011228F">
      <w:pPr>
        <w:spacing w:before="240" w:after="240"/>
        <w:jc w:val="both"/>
        <w:rPr>
          <w:rFonts w:ascii="Arial" w:eastAsia="Arial" w:hAnsi="Arial" w:cs="Arial"/>
          <w:highlight w:val="green"/>
        </w:rPr>
      </w:pPr>
      <w:r>
        <w:rPr>
          <w:rFonts w:ascii="Arial" w:eastAsia="Arial" w:hAnsi="Arial" w:cs="Arial"/>
          <w:b/>
          <w:bCs/>
        </w:rPr>
        <w:t>Parágrafo</w:t>
      </w:r>
      <w:r w:rsidRPr="00EC07A8">
        <w:rPr>
          <w:rFonts w:ascii="Arial" w:eastAsia="Arial" w:hAnsi="Arial" w:cs="Arial"/>
          <w:b/>
          <w:bCs/>
        </w:rPr>
        <w:t>:</w:t>
      </w:r>
      <w:r w:rsidR="0087241F" w:rsidRPr="00EC07A8">
        <w:rPr>
          <w:rFonts w:ascii="Arial" w:eastAsia="Arial" w:hAnsi="Arial" w:cs="Arial"/>
          <w:b/>
          <w:bCs/>
        </w:rPr>
        <w:t xml:space="preserve"> </w:t>
      </w:r>
      <w:r w:rsidR="0087241F" w:rsidRPr="00EC07A8">
        <w:rPr>
          <w:rFonts w:ascii="Arial" w:eastAsia="Arial" w:hAnsi="Arial" w:cs="Arial"/>
        </w:rPr>
        <w:t>El modelo tipo de nomenclatura urbana adoptado por el municipio de</w:t>
      </w:r>
      <w:r w:rsidR="00A315B4">
        <w:rPr>
          <w:rFonts w:ascii="Arial" w:eastAsia="Arial" w:hAnsi="Arial" w:cs="Arial"/>
        </w:rPr>
        <w:t xml:space="preserve"> </w:t>
      </w:r>
      <w:r w:rsidR="00A315B4" w:rsidRPr="00EC07A8">
        <w:rPr>
          <w:rFonts w:ascii="Arial" w:eastAsia="Arial" w:hAnsi="Arial" w:cs="Arial"/>
          <w:b/>
          <w:bCs/>
        </w:rPr>
        <w:t>[Nombre del Municipio]</w:t>
      </w:r>
      <w:r w:rsidR="00A315B4">
        <w:rPr>
          <w:rFonts w:ascii="Arial" w:eastAsia="Arial" w:hAnsi="Arial" w:cs="Arial"/>
          <w:b/>
          <w:bCs/>
        </w:rPr>
        <w:t xml:space="preserve"> </w:t>
      </w:r>
      <w:r w:rsidR="0087241F" w:rsidRPr="00EC07A8">
        <w:rPr>
          <w:rFonts w:ascii="Arial" w:eastAsia="Arial" w:hAnsi="Arial" w:cs="Arial"/>
        </w:rPr>
        <w:t xml:space="preserve">incorpora </w:t>
      </w:r>
      <w:r w:rsidR="0087241F" w:rsidRPr="00EC07A8">
        <w:rPr>
          <w:rFonts w:ascii="Arial" w:eastAsia="Arial" w:hAnsi="Arial" w:cs="Arial"/>
          <w:b/>
          <w:bCs/>
        </w:rPr>
        <w:t>Zonas Unificadas de Nomenclatura Urbana (ZUNU)</w:t>
      </w:r>
      <w:r w:rsidR="0087241F" w:rsidRPr="00EC07A8">
        <w:rPr>
          <w:rFonts w:ascii="Arial" w:eastAsia="Arial" w:hAnsi="Arial" w:cs="Arial"/>
        </w:rPr>
        <w:t xml:space="preserve">, garantizando coherencia en la asignación de la nomenclatura, tomando como referencia los ejes estructurantes. </w:t>
      </w:r>
      <w:r w:rsidRPr="00EC07A8">
        <w:rPr>
          <w:rFonts w:ascii="Arial" w:eastAsia="Arial" w:hAnsi="Arial" w:cs="Arial"/>
        </w:rPr>
        <w:t xml:space="preserve"> </w:t>
      </w:r>
      <w:r w:rsidR="0087241F" w:rsidRPr="00EC07A8">
        <w:rPr>
          <w:rFonts w:ascii="Arial" w:eastAsia="Arial" w:hAnsi="Arial" w:cs="Arial"/>
          <w:b/>
          <w:bCs/>
          <w:i/>
          <w:iCs/>
        </w:rPr>
        <w:t>(</w:t>
      </w:r>
      <w:r w:rsidRPr="00EC07A8">
        <w:rPr>
          <w:rFonts w:ascii="Arial" w:eastAsia="Arial" w:hAnsi="Arial" w:cs="Arial"/>
          <w:b/>
          <w:bCs/>
          <w:i/>
          <w:iCs/>
        </w:rPr>
        <w:t>Cuando se adopte el modelo tipo de nomenclatura urbana, los municipios deberán incorporar Zonas Unificadas de Nomenclatura Urbana (ZUNU), garantizando su coherencia con los ejes estructurantes y con la delimitación de zonas homogéneas. Las ZUNU deberán ser definidas explícitamente en el presente Acuerdo y representadas con precisión en los soportes cartográficos, asegurando su correcta articulación con la cabecera municipal y con los centros poblados</w:t>
      </w:r>
      <w:r w:rsidR="00627D9D">
        <w:rPr>
          <w:rFonts w:ascii="Arial" w:eastAsia="Arial" w:hAnsi="Arial" w:cs="Arial"/>
          <w:b/>
          <w:bCs/>
          <w:i/>
          <w:iCs/>
        </w:rPr>
        <w:t xml:space="preserve"> </w:t>
      </w:r>
      <w:r w:rsidRPr="00EC07A8">
        <w:rPr>
          <w:rFonts w:ascii="Arial" w:eastAsia="Arial" w:hAnsi="Arial" w:cs="Arial"/>
          <w:b/>
          <w:bCs/>
          <w:i/>
          <w:iCs/>
        </w:rPr>
        <w:t>que integran el territorio municipal</w:t>
      </w:r>
      <w:r w:rsidR="0087241F" w:rsidRPr="00EC07A8">
        <w:rPr>
          <w:rFonts w:ascii="Arial" w:eastAsia="Arial" w:hAnsi="Arial" w:cs="Arial"/>
          <w:b/>
          <w:bCs/>
          <w:i/>
          <w:iCs/>
        </w:rPr>
        <w:t>)</w:t>
      </w:r>
      <w:r w:rsidRPr="00EC07A8">
        <w:rPr>
          <w:rFonts w:ascii="Arial" w:eastAsia="Arial" w:hAnsi="Arial" w:cs="Arial"/>
          <w:b/>
          <w:bCs/>
          <w:i/>
          <w:iCs/>
        </w:rPr>
        <w:t>.</w:t>
      </w:r>
    </w:p>
    <w:p w14:paraId="1C5B81C6" w14:textId="77777777" w:rsidR="00281262" w:rsidRPr="00EC07A8" w:rsidRDefault="0011228F">
      <w:pPr>
        <w:jc w:val="both"/>
        <w:rPr>
          <w:rFonts w:ascii="Arial" w:eastAsia="Arial" w:hAnsi="Arial" w:cs="Arial"/>
          <w:b/>
          <w:bCs/>
          <w:i/>
          <w:iCs/>
        </w:rPr>
      </w:pPr>
      <w:r w:rsidRPr="00EC07A8">
        <w:rPr>
          <w:rFonts w:ascii="Arial" w:eastAsia="Arial" w:hAnsi="Arial" w:cs="Arial"/>
          <w:b/>
          <w:bCs/>
        </w:rPr>
        <w:t>Artículo 6. Zonas Unificadas de Nomenclatura Urbana (ZUNU).</w:t>
      </w:r>
      <w:r w:rsidR="00D673CD" w:rsidRPr="00EC07A8">
        <w:rPr>
          <w:rFonts w:ascii="Arial" w:eastAsia="Arial" w:hAnsi="Arial" w:cs="Arial"/>
          <w:b/>
          <w:bCs/>
        </w:rPr>
        <w:t xml:space="preserve"> </w:t>
      </w:r>
      <w:r w:rsidRPr="00EC07A8">
        <w:rPr>
          <w:rFonts w:ascii="Arial" w:eastAsia="Arial" w:hAnsi="Arial" w:cs="Arial"/>
        </w:rPr>
        <w:t xml:space="preserve">Las Zonas Unificadas de Nomenclatura Urbana (ZUNU) son áreas delimitadas por los ejes </w:t>
      </w:r>
      <w:r w:rsidRPr="00EC07A8">
        <w:rPr>
          <w:rFonts w:ascii="Arial" w:eastAsia="Arial" w:hAnsi="Arial" w:cs="Arial"/>
        </w:rPr>
        <w:lastRenderedPageBreak/>
        <w:t>estructurantes del municipio, dentro de las cuales se aplica una lógica uniforme de numeración y denominación de vías y predios.</w:t>
      </w:r>
      <w:r w:rsidR="00281262" w:rsidRPr="00EC07A8">
        <w:rPr>
          <w:rFonts w:ascii="Arial" w:eastAsia="Arial" w:hAnsi="Arial" w:cs="Arial"/>
          <w:b/>
          <w:bCs/>
          <w:i/>
          <w:iCs/>
        </w:rPr>
        <w:t xml:space="preserve"> (se sugiere en este punto incluir la delimitación de cada una de las ZUNU para el municipio)</w:t>
      </w:r>
    </w:p>
    <w:p w14:paraId="330129C3" w14:textId="60A9DD05" w:rsidR="00281262" w:rsidRPr="00181D96" w:rsidRDefault="00281262">
      <w:pPr>
        <w:jc w:val="both"/>
        <w:rPr>
          <w:rFonts w:ascii="Arial" w:eastAsia="Arial" w:hAnsi="Arial" w:cs="Arial"/>
          <w:highlight w:val="green"/>
        </w:rPr>
      </w:pPr>
    </w:p>
    <w:p w14:paraId="0000007F" w14:textId="7654EC7B" w:rsidR="0036083F" w:rsidRPr="00EC07A8" w:rsidRDefault="0011228F">
      <w:pPr>
        <w:jc w:val="both"/>
        <w:rPr>
          <w:rFonts w:ascii="Arial" w:eastAsia="Arial" w:hAnsi="Arial" w:cs="Arial"/>
          <w:b/>
          <w:bCs/>
        </w:rPr>
      </w:pPr>
      <w:r w:rsidRPr="00EC07A8">
        <w:rPr>
          <w:rFonts w:ascii="Arial" w:eastAsia="Arial" w:hAnsi="Arial" w:cs="Arial"/>
        </w:rPr>
        <w:t>Su delimitación espacial, atributos técnicos y codificación de cada ZUNU se encuentran representados en el M</w:t>
      </w:r>
      <w:r w:rsidRPr="00EC07A8">
        <w:rPr>
          <w:rFonts w:ascii="Arial" w:eastAsia="Arial" w:hAnsi="Arial" w:cs="Arial"/>
          <w:b/>
          <w:bCs/>
        </w:rPr>
        <w:t>apa Oficial de ZUNU</w:t>
      </w:r>
      <w:r w:rsidRPr="00EC07A8">
        <w:rPr>
          <w:rFonts w:ascii="Arial" w:eastAsia="Arial" w:hAnsi="Arial" w:cs="Arial"/>
        </w:rPr>
        <w:t xml:space="preserve">, que forma parte integral del presente Acuerdo como </w:t>
      </w:r>
      <w:r w:rsidRPr="00EC07A8">
        <w:rPr>
          <w:rFonts w:ascii="Arial" w:eastAsia="Arial" w:hAnsi="Arial" w:cs="Arial"/>
          <w:b/>
          <w:bCs/>
        </w:rPr>
        <w:t>Anexo Técnico 2.</w:t>
      </w:r>
    </w:p>
    <w:p w14:paraId="00000080" w14:textId="09988046" w:rsidR="0036083F" w:rsidRPr="00EC07A8" w:rsidRDefault="0011228F">
      <w:pPr>
        <w:jc w:val="both"/>
        <w:rPr>
          <w:rFonts w:ascii="Arial" w:eastAsia="Arial" w:hAnsi="Arial" w:cs="Arial"/>
        </w:rPr>
      </w:pPr>
      <w:r w:rsidRPr="00EC07A8">
        <w:rPr>
          <w:rFonts w:ascii="Arial" w:eastAsia="Arial" w:hAnsi="Arial" w:cs="Arial"/>
          <w:b/>
          <w:bCs/>
        </w:rPr>
        <w:t>Artículo 7. Criterios técnicos para la delimitación.</w:t>
      </w:r>
      <w:r w:rsidR="00775C8A" w:rsidRPr="00EC07A8">
        <w:t xml:space="preserve"> </w:t>
      </w:r>
      <w:r w:rsidR="00775C8A" w:rsidRPr="00EC07A8">
        <w:rPr>
          <w:rFonts w:ascii="Arial" w:eastAsia="Arial" w:hAnsi="Arial" w:cs="Arial"/>
        </w:rPr>
        <w:t>La delimitación de las Zonas Unificadas de Nomenclatura Urbana (ZUNU) se realiza atendiendo a los siguientes criterios técnicos y operativos:</w:t>
      </w:r>
    </w:p>
    <w:p w14:paraId="00000081" w14:textId="77777777" w:rsidR="0036083F" w:rsidRPr="00EC07A8" w:rsidRDefault="0011228F">
      <w:pPr>
        <w:numPr>
          <w:ilvl w:val="0"/>
          <w:numId w:val="23"/>
        </w:numPr>
        <w:pBdr>
          <w:top w:val="nil"/>
          <w:left w:val="nil"/>
          <w:bottom w:val="nil"/>
          <w:right w:val="nil"/>
          <w:between w:val="nil"/>
        </w:pBdr>
        <w:spacing w:after="0"/>
        <w:jc w:val="both"/>
        <w:rPr>
          <w:rFonts w:ascii="Arial" w:eastAsia="Arial" w:hAnsi="Arial" w:cs="Arial"/>
        </w:rPr>
      </w:pPr>
      <w:r w:rsidRPr="00EC07A8">
        <w:rPr>
          <w:rFonts w:ascii="Arial" w:eastAsia="Arial" w:hAnsi="Arial" w:cs="Arial"/>
          <w:color w:val="000000"/>
        </w:rPr>
        <w:t>Continuidad geométrica de la malla vial</w:t>
      </w:r>
    </w:p>
    <w:p w14:paraId="00000082" w14:textId="77777777" w:rsidR="0036083F" w:rsidRPr="00EC07A8" w:rsidRDefault="0011228F">
      <w:pPr>
        <w:numPr>
          <w:ilvl w:val="0"/>
          <w:numId w:val="23"/>
        </w:numPr>
        <w:pBdr>
          <w:top w:val="nil"/>
          <w:left w:val="nil"/>
          <w:bottom w:val="nil"/>
          <w:right w:val="nil"/>
          <w:between w:val="nil"/>
        </w:pBdr>
        <w:spacing w:after="0"/>
        <w:jc w:val="both"/>
        <w:rPr>
          <w:rFonts w:ascii="Arial" w:eastAsia="Arial" w:hAnsi="Arial" w:cs="Arial"/>
        </w:rPr>
      </w:pPr>
      <w:r w:rsidRPr="00EC07A8">
        <w:rPr>
          <w:rFonts w:ascii="Arial" w:eastAsia="Arial" w:hAnsi="Arial" w:cs="Arial"/>
          <w:color w:val="000000"/>
        </w:rPr>
        <w:t>Homogeneidad en la orientación de las vías</w:t>
      </w:r>
    </w:p>
    <w:p w14:paraId="00000083" w14:textId="77777777" w:rsidR="0036083F" w:rsidRPr="00EC07A8" w:rsidRDefault="0011228F">
      <w:pPr>
        <w:numPr>
          <w:ilvl w:val="0"/>
          <w:numId w:val="23"/>
        </w:numPr>
        <w:pBdr>
          <w:top w:val="nil"/>
          <w:left w:val="nil"/>
          <w:bottom w:val="nil"/>
          <w:right w:val="nil"/>
          <w:between w:val="nil"/>
        </w:pBdr>
        <w:spacing w:after="0"/>
        <w:jc w:val="both"/>
        <w:rPr>
          <w:rFonts w:ascii="Arial" w:eastAsia="Arial" w:hAnsi="Arial" w:cs="Arial"/>
        </w:rPr>
      </w:pPr>
      <w:r w:rsidRPr="00EC07A8">
        <w:rPr>
          <w:rFonts w:ascii="Arial" w:eastAsia="Arial" w:hAnsi="Arial" w:cs="Arial"/>
          <w:color w:val="000000"/>
        </w:rPr>
        <w:t>Existencia de ejes estructurantes claramente definidos</w:t>
      </w:r>
    </w:p>
    <w:p w14:paraId="00000084" w14:textId="77777777" w:rsidR="0036083F" w:rsidRPr="00EC07A8" w:rsidRDefault="0011228F">
      <w:pPr>
        <w:numPr>
          <w:ilvl w:val="0"/>
          <w:numId w:val="23"/>
        </w:numPr>
        <w:pBdr>
          <w:top w:val="nil"/>
          <w:left w:val="nil"/>
          <w:bottom w:val="nil"/>
          <w:right w:val="nil"/>
          <w:between w:val="nil"/>
        </w:pBdr>
        <w:spacing w:after="0"/>
        <w:jc w:val="both"/>
        <w:rPr>
          <w:rFonts w:ascii="Arial" w:eastAsia="Arial" w:hAnsi="Arial" w:cs="Arial"/>
        </w:rPr>
      </w:pPr>
      <w:r w:rsidRPr="00EC07A8">
        <w:rPr>
          <w:rFonts w:ascii="Arial" w:eastAsia="Arial" w:hAnsi="Arial" w:cs="Arial"/>
          <w:color w:val="000000"/>
        </w:rPr>
        <w:t>Coherencia con el perímetro urbano oficial</w:t>
      </w:r>
    </w:p>
    <w:p w14:paraId="00000085" w14:textId="77777777" w:rsidR="0036083F" w:rsidRPr="00EC07A8" w:rsidRDefault="0011228F">
      <w:pPr>
        <w:numPr>
          <w:ilvl w:val="0"/>
          <w:numId w:val="23"/>
        </w:numPr>
        <w:pBdr>
          <w:top w:val="nil"/>
          <w:left w:val="nil"/>
          <w:bottom w:val="nil"/>
          <w:right w:val="nil"/>
          <w:between w:val="nil"/>
        </w:pBdr>
        <w:jc w:val="both"/>
        <w:rPr>
          <w:rFonts w:ascii="Arial" w:eastAsia="Arial" w:hAnsi="Arial" w:cs="Arial"/>
        </w:rPr>
      </w:pPr>
      <w:r w:rsidRPr="00EC07A8">
        <w:rPr>
          <w:rFonts w:ascii="Arial" w:eastAsia="Arial" w:hAnsi="Arial" w:cs="Arial"/>
          <w:color w:val="000000"/>
        </w:rPr>
        <w:t>Viabilidad operativa para la asignación y ajuste de nomenclatura</w:t>
      </w:r>
    </w:p>
    <w:p w14:paraId="00000086" w14:textId="2CD143C9" w:rsidR="0036083F" w:rsidRDefault="0011228F">
      <w:pPr>
        <w:jc w:val="both"/>
        <w:rPr>
          <w:rFonts w:ascii="Arial" w:eastAsia="Arial" w:hAnsi="Arial" w:cs="Arial"/>
        </w:rPr>
      </w:pPr>
      <w:r>
        <w:rPr>
          <w:rFonts w:ascii="Arial" w:eastAsia="Arial" w:hAnsi="Arial" w:cs="Arial"/>
          <w:b/>
          <w:bCs/>
        </w:rPr>
        <w:t xml:space="preserve">Artículo 8. Sistema Técnico </w:t>
      </w:r>
      <w:r w:rsidR="00D357F8">
        <w:rPr>
          <w:rFonts w:ascii="Arial" w:eastAsia="Arial" w:hAnsi="Arial" w:cs="Arial"/>
          <w:b/>
          <w:bCs/>
        </w:rPr>
        <w:t>Oficial de</w:t>
      </w:r>
      <w:r>
        <w:rPr>
          <w:rFonts w:ascii="Arial" w:eastAsia="Arial" w:hAnsi="Arial" w:cs="Arial"/>
          <w:b/>
          <w:bCs/>
        </w:rPr>
        <w:t xml:space="preserve"> Nomenclatura Vial y Domiciliaria</w:t>
      </w:r>
      <w:r w:rsidR="00D673CD">
        <w:rPr>
          <w:rFonts w:ascii="Arial" w:eastAsia="Arial" w:hAnsi="Arial" w:cs="Arial"/>
          <w:b/>
          <w:bCs/>
        </w:rPr>
        <w:t xml:space="preserve">. </w:t>
      </w:r>
      <w:r>
        <w:rPr>
          <w:rFonts w:ascii="Arial" w:eastAsia="Arial" w:hAnsi="Arial" w:cs="Arial"/>
        </w:rPr>
        <w:t xml:space="preserve">La dependencia o entidad competente en materia de nomenclatura será responsable de la administración, actualización y conservación del Sistema Técnico Oficial de los ejes estructurantes y de las Zonas Unificadas de Nomenclatura Urbana (ZUNU). </w:t>
      </w:r>
    </w:p>
    <w:p w14:paraId="00000087" w14:textId="77777777" w:rsidR="0036083F" w:rsidRDefault="0011228F">
      <w:pPr>
        <w:jc w:val="both"/>
        <w:rPr>
          <w:rFonts w:ascii="Arial" w:eastAsia="Arial" w:hAnsi="Arial" w:cs="Arial"/>
        </w:rPr>
      </w:pPr>
      <w:r>
        <w:rPr>
          <w:rFonts w:ascii="Arial" w:eastAsia="Arial" w:hAnsi="Arial" w:cs="Arial"/>
        </w:rPr>
        <w:t xml:space="preserve">- Representación cartográfica, </w:t>
      </w:r>
    </w:p>
    <w:p w14:paraId="00000088" w14:textId="77777777" w:rsidR="0036083F" w:rsidRDefault="0011228F">
      <w:pPr>
        <w:jc w:val="both"/>
        <w:rPr>
          <w:rFonts w:ascii="Arial" w:eastAsia="Arial" w:hAnsi="Arial" w:cs="Arial"/>
          <w:highlight w:val="yellow"/>
        </w:rPr>
      </w:pPr>
      <w:r>
        <w:rPr>
          <w:rFonts w:ascii="Arial" w:eastAsia="Arial" w:hAnsi="Arial" w:cs="Arial"/>
        </w:rPr>
        <w:t xml:space="preserve">- Atributos espaciales </w:t>
      </w:r>
    </w:p>
    <w:p w14:paraId="00000089" w14:textId="77777777" w:rsidR="0036083F" w:rsidRDefault="0011228F">
      <w:pPr>
        <w:jc w:val="both"/>
        <w:rPr>
          <w:rFonts w:ascii="Arial" w:eastAsia="Arial" w:hAnsi="Arial" w:cs="Arial"/>
        </w:rPr>
      </w:pPr>
      <w:r>
        <w:rPr>
          <w:rFonts w:ascii="Arial" w:eastAsia="Arial" w:hAnsi="Arial" w:cs="Arial"/>
        </w:rPr>
        <w:t xml:space="preserve">- Referencia a los actos administrativos de oficialización. </w:t>
      </w:r>
    </w:p>
    <w:p w14:paraId="0000008A" w14:textId="6D86AC94" w:rsidR="0036083F" w:rsidRDefault="0011228F">
      <w:pPr>
        <w:jc w:val="both"/>
        <w:rPr>
          <w:rFonts w:ascii="Arial" w:eastAsia="Arial" w:hAnsi="Arial" w:cs="Arial"/>
        </w:rPr>
      </w:pPr>
      <w:r>
        <w:rPr>
          <w:rFonts w:ascii="Arial" w:eastAsia="Arial" w:hAnsi="Arial" w:cs="Arial"/>
          <w:b/>
          <w:bCs/>
        </w:rPr>
        <w:t xml:space="preserve">Parágrafo 1: </w:t>
      </w:r>
      <w:r>
        <w:rPr>
          <w:rFonts w:ascii="Arial" w:eastAsia="Arial" w:hAnsi="Arial" w:cs="Arial"/>
        </w:rPr>
        <w:t xml:space="preserve">El Sistema Técnico </w:t>
      </w:r>
      <w:r w:rsidR="00D357F8">
        <w:rPr>
          <w:rFonts w:ascii="Arial" w:eastAsia="Arial" w:hAnsi="Arial" w:cs="Arial"/>
        </w:rPr>
        <w:t>Oficial servirá</w:t>
      </w:r>
      <w:r>
        <w:rPr>
          <w:rFonts w:ascii="Arial" w:eastAsia="Arial" w:hAnsi="Arial" w:cs="Arial"/>
        </w:rPr>
        <w:t xml:space="preserve"> como base para la asignación, ajuste, </w:t>
      </w:r>
      <w:r w:rsidR="00D357F8">
        <w:rPr>
          <w:rFonts w:ascii="Arial" w:eastAsia="Arial" w:hAnsi="Arial" w:cs="Arial"/>
        </w:rPr>
        <w:t>verificación y</w:t>
      </w:r>
      <w:r>
        <w:rPr>
          <w:rFonts w:ascii="Arial" w:eastAsia="Arial" w:hAnsi="Arial" w:cs="Arial"/>
        </w:rPr>
        <w:t xml:space="preserve"> certificación de nomenclatura vial y domiciliaria, y podrá ser </w:t>
      </w:r>
      <w:r w:rsidR="00D357F8">
        <w:rPr>
          <w:rFonts w:ascii="Arial" w:eastAsia="Arial" w:hAnsi="Arial" w:cs="Arial"/>
        </w:rPr>
        <w:t>dispuesto para</w:t>
      </w:r>
      <w:r>
        <w:rPr>
          <w:rFonts w:ascii="Arial" w:eastAsia="Arial" w:hAnsi="Arial" w:cs="Arial"/>
        </w:rPr>
        <w:t xml:space="preserve"> consulta institucional y ciudadana mediante los medios digitales y plataformas que determine la administración municipal, conforme a las capacidades técnicas del municipio.</w:t>
      </w:r>
    </w:p>
    <w:p w14:paraId="0000008B" w14:textId="77777777" w:rsidR="0036083F" w:rsidRDefault="0036083F">
      <w:pPr>
        <w:spacing w:after="0" w:line="240" w:lineRule="auto"/>
        <w:rPr>
          <w:rFonts w:ascii="Arial" w:eastAsia="Arial" w:hAnsi="Arial" w:cs="Arial"/>
        </w:rPr>
      </w:pPr>
    </w:p>
    <w:p w14:paraId="0000008C" w14:textId="77777777" w:rsidR="0036083F" w:rsidRDefault="0011228F">
      <w:pPr>
        <w:ind w:left="720"/>
        <w:jc w:val="center"/>
        <w:rPr>
          <w:rFonts w:ascii="Arial" w:eastAsia="Arial" w:hAnsi="Arial" w:cs="Arial"/>
          <w:b/>
          <w:bCs/>
        </w:rPr>
      </w:pPr>
      <w:r>
        <w:rPr>
          <w:rFonts w:ascii="Arial" w:eastAsia="Arial" w:hAnsi="Arial" w:cs="Arial"/>
          <w:b/>
          <w:bCs/>
        </w:rPr>
        <w:t>CAPÍTULO IV – MODELO TÉCNICO DE NOMENCLATURA</w:t>
      </w:r>
    </w:p>
    <w:p w14:paraId="0000008D" w14:textId="70FDE1A5" w:rsidR="0036083F" w:rsidRDefault="0011228F">
      <w:pPr>
        <w:spacing w:before="280" w:after="280" w:line="240" w:lineRule="auto"/>
        <w:jc w:val="both"/>
        <w:rPr>
          <w:rFonts w:ascii="Arial" w:eastAsia="Arial" w:hAnsi="Arial" w:cs="Arial"/>
        </w:rPr>
      </w:pPr>
      <w:r>
        <w:rPr>
          <w:rFonts w:ascii="Arial" w:eastAsia="Arial" w:hAnsi="Arial" w:cs="Arial"/>
          <w:b/>
          <w:bCs/>
        </w:rPr>
        <w:t xml:space="preserve">Artículo 9. Modelo adoptado. </w:t>
      </w:r>
      <w:proofErr w:type="spellStart"/>
      <w:r>
        <w:rPr>
          <w:rFonts w:ascii="Arial" w:eastAsia="Arial" w:hAnsi="Arial" w:cs="Arial"/>
        </w:rPr>
        <w:t>Adóptase</w:t>
      </w:r>
      <w:proofErr w:type="spellEnd"/>
      <w:r>
        <w:rPr>
          <w:rFonts w:ascii="Arial" w:eastAsia="Arial" w:hAnsi="Arial" w:cs="Arial"/>
        </w:rPr>
        <w:t xml:space="preserve"> como modelo técnico de nomenclatura vial y domiciliaria basado en la estructura de calles y carreras, complementado por numeración alfanumérica progresiva, cuadrantes funcionales y criterios de orientación espacial. Este modelo permite identificar de manera única</w:t>
      </w:r>
      <w:r w:rsidR="00B57DC9">
        <w:rPr>
          <w:rFonts w:ascii="Arial" w:eastAsia="Arial" w:hAnsi="Arial" w:cs="Arial"/>
        </w:rPr>
        <w:t xml:space="preserve">, </w:t>
      </w:r>
      <w:r>
        <w:rPr>
          <w:rFonts w:ascii="Arial" w:eastAsia="Arial" w:hAnsi="Arial" w:cs="Arial"/>
        </w:rPr>
        <w:t>oficial y trazable cada vía y predio dentro del perímetro urbano</w:t>
      </w:r>
      <w:r w:rsidR="00B57DC9">
        <w:rPr>
          <w:rFonts w:ascii="Arial" w:eastAsia="Arial" w:hAnsi="Arial" w:cs="Arial"/>
        </w:rPr>
        <w:t xml:space="preserve"> y los centros poblados</w:t>
      </w:r>
      <w:r>
        <w:rPr>
          <w:rFonts w:ascii="Arial" w:eastAsia="Arial" w:hAnsi="Arial" w:cs="Arial"/>
        </w:rPr>
        <w:t>.</w:t>
      </w:r>
    </w:p>
    <w:p w14:paraId="0000008E" w14:textId="77777777" w:rsidR="0036083F" w:rsidRDefault="0011228F">
      <w:pPr>
        <w:spacing w:before="280" w:after="280" w:line="240" w:lineRule="auto"/>
        <w:jc w:val="both"/>
        <w:rPr>
          <w:rFonts w:ascii="Arial" w:eastAsia="Arial" w:hAnsi="Arial" w:cs="Arial"/>
        </w:rPr>
      </w:pPr>
      <w:r>
        <w:rPr>
          <w:rFonts w:ascii="Arial" w:eastAsia="Arial" w:hAnsi="Arial" w:cs="Arial"/>
          <w:b/>
          <w:bCs/>
        </w:rPr>
        <w:lastRenderedPageBreak/>
        <w:t xml:space="preserve">Artículo 10. Estructura de la nomenclatura vial. </w:t>
      </w:r>
      <w:r>
        <w:rPr>
          <w:rFonts w:ascii="Arial" w:eastAsia="Arial" w:hAnsi="Arial" w:cs="Arial"/>
        </w:rPr>
        <w:t>La nomenclatura vial se compone de los siguientes elementos:</w:t>
      </w:r>
    </w:p>
    <w:p w14:paraId="0000008F" w14:textId="16543E16" w:rsidR="0036083F" w:rsidRDefault="0011228F">
      <w:pPr>
        <w:numPr>
          <w:ilvl w:val="0"/>
          <w:numId w:val="10"/>
        </w:numPr>
        <w:spacing w:before="280" w:after="0" w:line="240" w:lineRule="auto"/>
        <w:jc w:val="both"/>
        <w:rPr>
          <w:rFonts w:ascii="Arial" w:eastAsia="Arial" w:hAnsi="Arial" w:cs="Arial"/>
        </w:rPr>
      </w:pPr>
      <w:r>
        <w:rPr>
          <w:rFonts w:ascii="Arial" w:eastAsia="Arial" w:hAnsi="Arial" w:cs="Arial"/>
        </w:rPr>
        <w:t xml:space="preserve">Tipo de vía: Calle, carrera, diagonal, transversal, </w:t>
      </w:r>
      <w:r w:rsidR="00B57DC9">
        <w:rPr>
          <w:rFonts w:ascii="Arial" w:eastAsia="Arial" w:hAnsi="Arial" w:cs="Arial"/>
        </w:rPr>
        <w:t>Avenida Calle, Avenida Carrera.</w:t>
      </w:r>
    </w:p>
    <w:p w14:paraId="00000090" w14:textId="77777777" w:rsidR="0036083F" w:rsidRDefault="0011228F">
      <w:pPr>
        <w:numPr>
          <w:ilvl w:val="0"/>
          <w:numId w:val="10"/>
        </w:numPr>
        <w:spacing w:after="0" w:line="240" w:lineRule="auto"/>
        <w:jc w:val="both"/>
        <w:rPr>
          <w:rFonts w:ascii="Arial" w:eastAsia="Arial" w:hAnsi="Arial" w:cs="Arial"/>
        </w:rPr>
      </w:pPr>
      <w:r>
        <w:rPr>
          <w:rFonts w:ascii="Arial" w:eastAsia="Arial" w:hAnsi="Arial" w:cs="Arial"/>
        </w:rPr>
        <w:t>Número o nombre: Asignado según la orientación, secuencia y reconocimiento local</w:t>
      </w:r>
    </w:p>
    <w:p w14:paraId="55AB8BB9" w14:textId="220700E8" w:rsidR="00EC07A8" w:rsidRDefault="0011228F" w:rsidP="00F63A33">
      <w:pPr>
        <w:numPr>
          <w:ilvl w:val="0"/>
          <w:numId w:val="10"/>
        </w:numPr>
        <w:spacing w:before="280" w:after="280" w:line="240" w:lineRule="auto"/>
        <w:jc w:val="both"/>
        <w:rPr>
          <w:rFonts w:ascii="Arial" w:eastAsia="Arial" w:hAnsi="Arial" w:cs="Arial"/>
        </w:rPr>
      </w:pPr>
      <w:r w:rsidRPr="00EC07A8">
        <w:rPr>
          <w:rFonts w:ascii="Arial" w:eastAsia="Arial" w:hAnsi="Arial" w:cs="Arial"/>
        </w:rPr>
        <w:t>Letra complementaria (si aplica): Para vías paralelas o bifurcadas</w:t>
      </w:r>
      <w:r w:rsidR="009312BB" w:rsidRPr="00EC07A8">
        <w:rPr>
          <w:rFonts w:ascii="Arial" w:eastAsia="Arial" w:hAnsi="Arial" w:cs="Arial"/>
        </w:rPr>
        <w:t xml:space="preserve">, se puede hacer uso de todas las letras del alfabeto </w:t>
      </w:r>
      <w:r w:rsidR="009312BB" w:rsidRPr="00EC07A8">
        <w:rPr>
          <w:rFonts w:ascii="Arial" w:eastAsia="Arial" w:hAnsi="Arial" w:cs="Arial"/>
          <w:b/>
          <w:bCs/>
        </w:rPr>
        <w:t xml:space="preserve">exceptuando la </w:t>
      </w:r>
      <w:r w:rsidR="00EC07A8" w:rsidRPr="00EC07A8">
        <w:rPr>
          <w:rFonts w:ascii="Arial" w:eastAsia="Arial" w:hAnsi="Arial" w:cs="Arial"/>
          <w:b/>
          <w:bCs/>
        </w:rPr>
        <w:t>E, N, Ñ</w:t>
      </w:r>
      <w:r w:rsidR="009312BB" w:rsidRPr="00EC07A8">
        <w:rPr>
          <w:rFonts w:ascii="Arial" w:eastAsia="Arial" w:hAnsi="Arial" w:cs="Arial"/>
          <w:b/>
          <w:bCs/>
        </w:rPr>
        <w:t>, O y S</w:t>
      </w:r>
      <w:r w:rsidR="00EC07A8">
        <w:rPr>
          <w:rFonts w:ascii="Arial" w:eastAsia="Arial" w:hAnsi="Arial" w:cs="Arial"/>
        </w:rPr>
        <w:t>.</w:t>
      </w:r>
    </w:p>
    <w:p w14:paraId="41B277A0" w14:textId="366279B9" w:rsidR="000D1BFA" w:rsidRDefault="000D1BFA" w:rsidP="000D1BFA">
      <w:pPr>
        <w:pStyle w:val="Prrafodelista"/>
        <w:numPr>
          <w:ilvl w:val="0"/>
          <w:numId w:val="10"/>
        </w:numPr>
        <w:spacing w:before="100" w:beforeAutospacing="1" w:after="100" w:afterAutospacing="1" w:line="240" w:lineRule="auto"/>
        <w:jc w:val="both"/>
        <w:rPr>
          <w:rFonts w:ascii="Arial" w:eastAsia="Arial" w:hAnsi="Arial" w:cs="Arial"/>
        </w:rPr>
      </w:pPr>
      <w:r w:rsidRPr="000D1BFA">
        <w:rPr>
          <w:rFonts w:ascii="Arial" w:eastAsia="Arial" w:hAnsi="Arial" w:cs="Arial"/>
        </w:rPr>
        <w:t xml:space="preserve">Cuadrante: Indicador espacial que facilita la localización de los inmuebles dentro </w:t>
      </w:r>
      <w:r w:rsidR="00B57DC9">
        <w:rPr>
          <w:rFonts w:ascii="Arial" w:eastAsia="Arial" w:hAnsi="Arial" w:cs="Arial"/>
        </w:rPr>
        <w:t xml:space="preserve">del municipio y </w:t>
      </w:r>
      <w:r w:rsidRPr="000D1BFA">
        <w:rPr>
          <w:rFonts w:ascii="Arial" w:eastAsia="Arial" w:hAnsi="Arial" w:cs="Arial"/>
        </w:rPr>
        <w:t xml:space="preserve">de la ZUNU correspondiente. El [Nombre del Municipio] adopta el sistema de cuadrantes </w:t>
      </w:r>
      <w:r w:rsidR="00B57DC9">
        <w:rPr>
          <w:rFonts w:ascii="Arial" w:eastAsia="Arial" w:hAnsi="Arial" w:cs="Arial"/>
        </w:rPr>
        <w:t xml:space="preserve">(Indicar el tipo de cuadrante </w:t>
      </w:r>
      <w:r w:rsidRPr="000D1BFA">
        <w:rPr>
          <w:rFonts w:ascii="Arial" w:eastAsia="Arial" w:hAnsi="Arial" w:cs="Arial"/>
        </w:rPr>
        <w:t>Norte (N), Sur (S), Este (E) u Oeste (O</w:t>
      </w:r>
      <w:r w:rsidR="00B57DC9">
        <w:rPr>
          <w:rFonts w:ascii="Arial" w:eastAsia="Arial" w:hAnsi="Arial" w:cs="Arial"/>
        </w:rPr>
        <w:t>))</w:t>
      </w:r>
      <w:r w:rsidRPr="000D1BFA">
        <w:rPr>
          <w:rFonts w:ascii="Arial" w:eastAsia="Arial" w:hAnsi="Arial" w:cs="Arial"/>
        </w:rPr>
        <w:t>en la denominación de las vías tipo Calle</w:t>
      </w:r>
      <w:r w:rsidR="00B57DC9">
        <w:rPr>
          <w:rFonts w:ascii="Arial" w:eastAsia="Arial" w:hAnsi="Arial" w:cs="Arial"/>
        </w:rPr>
        <w:t>, mientras que para las Carreras utiliza</w:t>
      </w:r>
      <w:r w:rsidRPr="000D1BFA">
        <w:rPr>
          <w:rFonts w:ascii="Arial" w:eastAsia="Arial" w:hAnsi="Arial" w:cs="Arial"/>
        </w:rPr>
        <w:t xml:space="preserve"> (indicar</w:t>
      </w:r>
      <w:r w:rsidR="00B57DC9">
        <w:rPr>
          <w:rFonts w:ascii="Arial" w:eastAsia="Arial" w:hAnsi="Arial" w:cs="Arial"/>
        </w:rPr>
        <w:t xml:space="preserve"> el tipo de cuadrante</w:t>
      </w:r>
      <w:r w:rsidRPr="000D1BFA">
        <w:rPr>
          <w:rFonts w:ascii="Arial" w:eastAsia="Arial" w:hAnsi="Arial" w:cs="Arial"/>
        </w:rPr>
        <w:t xml:space="preserve"> N, S, E u O).</w:t>
      </w:r>
    </w:p>
    <w:p w14:paraId="5F82F280" w14:textId="77777777" w:rsidR="000D1BFA" w:rsidRPr="000D1BFA" w:rsidRDefault="000D1BFA" w:rsidP="000D1BFA">
      <w:pPr>
        <w:pStyle w:val="Prrafodelista"/>
        <w:spacing w:before="100" w:beforeAutospacing="1" w:after="100" w:afterAutospacing="1" w:line="240" w:lineRule="auto"/>
        <w:jc w:val="both"/>
        <w:rPr>
          <w:rFonts w:ascii="Arial" w:eastAsia="Arial" w:hAnsi="Arial" w:cs="Arial"/>
        </w:rPr>
      </w:pPr>
    </w:p>
    <w:p w14:paraId="76A409A4" w14:textId="77777777" w:rsidR="000D1BFA" w:rsidRPr="000D1BFA" w:rsidRDefault="000D1BFA" w:rsidP="000D1BFA">
      <w:pPr>
        <w:pStyle w:val="Prrafodelista"/>
        <w:spacing w:before="100" w:beforeAutospacing="1" w:after="100" w:afterAutospacing="1" w:line="240" w:lineRule="auto"/>
        <w:jc w:val="both"/>
        <w:rPr>
          <w:rFonts w:ascii="Arial" w:eastAsia="Arial" w:hAnsi="Arial" w:cs="Arial"/>
        </w:rPr>
      </w:pPr>
      <w:r w:rsidRPr="000D1BFA">
        <w:rPr>
          <w:rFonts w:ascii="Arial" w:eastAsia="Arial" w:hAnsi="Arial" w:cs="Arial"/>
        </w:rPr>
        <w:t>Estos cuadrantes deberán incorporarse de manera obligatoria como complemento del tipo y número de vía, conforme a su ubicación dentro del territorio municipal.</w:t>
      </w:r>
    </w:p>
    <w:p w14:paraId="00000093" w14:textId="77777777" w:rsidR="0036083F" w:rsidRPr="00F63A33" w:rsidRDefault="0011228F" w:rsidP="00F63A33">
      <w:pPr>
        <w:spacing w:before="280" w:after="280" w:line="240" w:lineRule="auto"/>
        <w:jc w:val="both"/>
        <w:rPr>
          <w:rFonts w:ascii="Arial" w:eastAsia="Arial" w:hAnsi="Arial" w:cs="Arial"/>
        </w:rPr>
      </w:pPr>
      <w:r w:rsidRPr="00F63A33">
        <w:rPr>
          <w:rFonts w:ascii="Arial" w:eastAsia="Arial" w:hAnsi="Arial" w:cs="Arial"/>
          <w:b/>
          <w:bCs/>
        </w:rPr>
        <w:t xml:space="preserve">Artículo 11. Estructura de la nomenclatura domiciliaria. </w:t>
      </w:r>
      <w:r w:rsidRPr="00F63A33">
        <w:rPr>
          <w:rFonts w:ascii="Arial" w:eastAsia="Arial" w:hAnsi="Arial" w:cs="Arial"/>
        </w:rPr>
        <w:t>La nomenclatura domiciliaria se compone de:</w:t>
      </w:r>
    </w:p>
    <w:p w14:paraId="0036C163" w14:textId="77777777" w:rsidR="006C7112" w:rsidRDefault="006C7112" w:rsidP="006C7112">
      <w:pPr>
        <w:numPr>
          <w:ilvl w:val="0"/>
          <w:numId w:val="11"/>
        </w:numPr>
        <w:spacing w:after="0" w:line="240" w:lineRule="auto"/>
        <w:jc w:val="both"/>
        <w:rPr>
          <w:rFonts w:ascii="Arial" w:eastAsia="Arial" w:hAnsi="Arial" w:cs="Arial"/>
        </w:rPr>
      </w:pPr>
      <w:r w:rsidRPr="00356A4F">
        <w:rPr>
          <w:rFonts w:ascii="Arial" w:eastAsia="Arial" w:hAnsi="Arial" w:cs="Arial"/>
          <w:b/>
          <w:bCs/>
        </w:rPr>
        <w:t>Vía principal:</w:t>
      </w:r>
      <w:r w:rsidRPr="00356A4F">
        <w:rPr>
          <w:rFonts w:ascii="Arial" w:eastAsia="Arial" w:hAnsi="Arial" w:cs="Arial"/>
        </w:rPr>
        <w:t xml:space="preserve"> Es la calle, carrera, avenida calle, avenida carrera, diagonal o transversal donde se encuentra el acceso al predio. Las </w:t>
      </w:r>
      <w:r w:rsidRPr="00356A4F">
        <w:rPr>
          <w:rFonts w:ascii="Arial" w:eastAsia="Arial" w:hAnsi="Arial" w:cs="Arial"/>
          <w:b/>
          <w:bCs/>
        </w:rPr>
        <w:t>calles</w:t>
      </w:r>
      <w:r w:rsidRPr="00356A4F">
        <w:rPr>
          <w:rFonts w:ascii="Arial" w:eastAsia="Arial" w:hAnsi="Arial" w:cs="Arial"/>
        </w:rPr>
        <w:t xml:space="preserve"> van de </w:t>
      </w:r>
      <w:r>
        <w:rPr>
          <w:rFonts w:ascii="Arial" w:eastAsia="Arial" w:hAnsi="Arial" w:cs="Arial"/>
        </w:rPr>
        <w:t>(</w:t>
      </w:r>
      <w:r w:rsidRPr="00356A4F">
        <w:rPr>
          <w:rFonts w:ascii="Arial" w:eastAsia="Arial" w:hAnsi="Arial" w:cs="Arial"/>
        </w:rPr>
        <w:t>oriente a occidente</w:t>
      </w:r>
      <w:r>
        <w:rPr>
          <w:rFonts w:ascii="Arial" w:eastAsia="Arial" w:hAnsi="Arial" w:cs="Arial"/>
        </w:rPr>
        <w:t>)</w:t>
      </w:r>
      <w:r w:rsidRPr="00356A4F">
        <w:rPr>
          <w:rFonts w:ascii="Arial" w:eastAsia="Arial" w:hAnsi="Arial" w:cs="Arial"/>
        </w:rPr>
        <w:t xml:space="preserve">, mientras que las </w:t>
      </w:r>
      <w:r w:rsidRPr="00356A4F">
        <w:rPr>
          <w:rFonts w:ascii="Arial" w:eastAsia="Arial" w:hAnsi="Arial" w:cs="Arial"/>
          <w:b/>
          <w:bCs/>
        </w:rPr>
        <w:t>carreras</w:t>
      </w:r>
      <w:r w:rsidRPr="00356A4F">
        <w:rPr>
          <w:rFonts w:ascii="Arial" w:eastAsia="Arial" w:hAnsi="Arial" w:cs="Arial"/>
        </w:rPr>
        <w:t xml:space="preserve"> van de </w:t>
      </w:r>
      <w:r>
        <w:rPr>
          <w:rFonts w:ascii="Arial" w:eastAsia="Arial" w:hAnsi="Arial" w:cs="Arial"/>
        </w:rPr>
        <w:t>(</w:t>
      </w:r>
      <w:r w:rsidRPr="00356A4F">
        <w:rPr>
          <w:rFonts w:ascii="Arial" w:eastAsia="Arial" w:hAnsi="Arial" w:cs="Arial"/>
        </w:rPr>
        <w:t>norte a sur</w:t>
      </w:r>
      <w:r>
        <w:rPr>
          <w:rFonts w:ascii="Arial" w:eastAsia="Arial" w:hAnsi="Arial" w:cs="Arial"/>
        </w:rPr>
        <w:t>)</w:t>
      </w:r>
      <w:r w:rsidRPr="00356A4F">
        <w:rPr>
          <w:rFonts w:ascii="Arial" w:eastAsia="Arial" w:hAnsi="Arial" w:cs="Arial"/>
        </w:rPr>
        <w:t>.</w:t>
      </w:r>
    </w:p>
    <w:p w14:paraId="4FA5AD69" w14:textId="77777777" w:rsidR="006C7112" w:rsidRDefault="006C7112" w:rsidP="006C7112">
      <w:pPr>
        <w:numPr>
          <w:ilvl w:val="0"/>
          <w:numId w:val="11"/>
        </w:numPr>
        <w:spacing w:after="280" w:line="240" w:lineRule="auto"/>
        <w:jc w:val="both"/>
        <w:rPr>
          <w:rFonts w:ascii="Arial" w:eastAsia="Arial" w:hAnsi="Arial" w:cs="Arial"/>
        </w:rPr>
      </w:pPr>
      <w:r w:rsidRPr="00356A4F">
        <w:rPr>
          <w:rFonts w:ascii="Arial" w:eastAsia="Arial" w:hAnsi="Arial" w:cs="Arial"/>
          <w:b/>
          <w:bCs/>
        </w:rPr>
        <w:t>Placa:</w:t>
      </w:r>
      <w:r w:rsidRPr="00356A4F">
        <w:rPr>
          <w:rFonts w:ascii="Arial" w:eastAsia="Arial" w:hAnsi="Arial" w:cs="Arial"/>
        </w:rPr>
        <w:t xml:space="preserve"> Conformada por la numeración de la vía generadora y el número entendido como la distancia desde el eje generador hasta el acceso del predio. En el caso de Becerril, esta distancia se representará con números entre </w:t>
      </w:r>
      <w:r w:rsidRPr="00356A4F">
        <w:rPr>
          <w:rFonts w:ascii="Arial" w:eastAsia="Arial" w:hAnsi="Arial" w:cs="Arial"/>
          <w:b/>
          <w:bCs/>
        </w:rPr>
        <w:t>0 y 999</w:t>
      </w:r>
      <w:r>
        <w:rPr>
          <w:rFonts w:ascii="Arial" w:eastAsia="Arial" w:hAnsi="Arial" w:cs="Arial"/>
          <w:b/>
          <w:bCs/>
        </w:rPr>
        <w:t>(99)</w:t>
      </w:r>
      <w:r w:rsidRPr="00356A4F">
        <w:rPr>
          <w:rFonts w:ascii="Arial" w:eastAsia="Arial" w:hAnsi="Arial" w:cs="Arial"/>
        </w:rPr>
        <w:t>.</w:t>
      </w:r>
    </w:p>
    <w:p w14:paraId="21FA62B3" w14:textId="77777777" w:rsidR="006C7112" w:rsidRPr="00356A4F" w:rsidRDefault="006C7112" w:rsidP="006C7112">
      <w:pPr>
        <w:spacing w:after="280" w:line="240" w:lineRule="auto"/>
        <w:ind w:left="720"/>
        <w:jc w:val="both"/>
        <w:rPr>
          <w:rFonts w:ascii="Arial" w:eastAsia="Arial" w:hAnsi="Arial" w:cs="Arial"/>
        </w:rPr>
      </w:pPr>
      <w:r w:rsidRPr="00356A4F">
        <w:rPr>
          <w:rFonts w:ascii="Arial" w:eastAsia="Arial" w:hAnsi="Arial" w:cs="Arial"/>
        </w:rPr>
        <w:t>Además, se seguirá la siguiente regla de numeración:</w:t>
      </w:r>
    </w:p>
    <w:p w14:paraId="1DA92ED1" w14:textId="77777777" w:rsidR="006C7112" w:rsidRPr="00356A4F" w:rsidRDefault="006C7112" w:rsidP="006C7112">
      <w:pPr>
        <w:numPr>
          <w:ilvl w:val="1"/>
          <w:numId w:val="11"/>
        </w:numPr>
        <w:spacing w:after="280" w:line="240" w:lineRule="auto"/>
        <w:jc w:val="both"/>
        <w:rPr>
          <w:rFonts w:ascii="Arial" w:eastAsia="Arial" w:hAnsi="Arial" w:cs="Arial"/>
        </w:rPr>
      </w:pPr>
      <w:r w:rsidRPr="00356A4F">
        <w:rPr>
          <w:rFonts w:ascii="Arial" w:eastAsia="Arial" w:hAnsi="Arial" w:cs="Arial"/>
        </w:rPr>
        <w:t xml:space="preserve">En las </w:t>
      </w:r>
      <w:r w:rsidRPr="00356A4F">
        <w:rPr>
          <w:rFonts w:ascii="Arial" w:eastAsia="Arial" w:hAnsi="Arial" w:cs="Arial"/>
          <w:b/>
          <w:bCs/>
        </w:rPr>
        <w:t>calles</w:t>
      </w:r>
      <w:r w:rsidRPr="00356A4F">
        <w:rPr>
          <w:rFonts w:ascii="Arial" w:eastAsia="Arial" w:hAnsi="Arial" w:cs="Arial"/>
        </w:rPr>
        <w:t xml:space="preserve">, los números </w:t>
      </w:r>
      <w:r w:rsidRPr="00356A4F">
        <w:rPr>
          <w:rFonts w:ascii="Arial" w:eastAsia="Arial" w:hAnsi="Arial" w:cs="Arial"/>
          <w:b/>
          <w:bCs/>
        </w:rPr>
        <w:t>pares</w:t>
      </w:r>
      <w:r w:rsidRPr="00356A4F">
        <w:rPr>
          <w:rFonts w:ascii="Arial" w:eastAsia="Arial" w:hAnsi="Arial" w:cs="Arial"/>
        </w:rPr>
        <w:t xml:space="preserve"> estarán en el lado </w:t>
      </w:r>
      <w:r w:rsidRPr="00356A4F">
        <w:rPr>
          <w:rFonts w:ascii="Arial" w:eastAsia="Arial" w:hAnsi="Arial" w:cs="Arial"/>
          <w:b/>
          <w:bCs/>
        </w:rPr>
        <w:t>norte</w:t>
      </w:r>
      <w:r>
        <w:rPr>
          <w:rFonts w:ascii="Arial" w:eastAsia="Arial" w:hAnsi="Arial" w:cs="Arial"/>
          <w:b/>
          <w:bCs/>
        </w:rPr>
        <w:t>(sur)</w:t>
      </w:r>
      <w:r w:rsidRPr="00356A4F">
        <w:rPr>
          <w:rFonts w:ascii="Arial" w:eastAsia="Arial" w:hAnsi="Arial" w:cs="Arial"/>
        </w:rPr>
        <w:t xml:space="preserve"> de la manzana y los </w:t>
      </w:r>
      <w:r w:rsidRPr="00356A4F">
        <w:rPr>
          <w:rFonts w:ascii="Arial" w:eastAsia="Arial" w:hAnsi="Arial" w:cs="Arial"/>
          <w:b/>
          <w:bCs/>
        </w:rPr>
        <w:t>impares</w:t>
      </w:r>
      <w:r w:rsidRPr="00356A4F">
        <w:rPr>
          <w:rFonts w:ascii="Arial" w:eastAsia="Arial" w:hAnsi="Arial" w:cs="Arial"/>
        </w:rPr>
        <w:t xml:space="preserve"> en el lado </w:t>
      </w:r>
      <w:r w:rsidRPr="00356A4F">
        <w:rPr>
          <w:rFonts w:ascii="Arial" w:eastAsia="Arial" w:hAnsi="Arial" w:cs="Arial"/>
          <w:b/>
          <w:bCs/>
        </w:rPr>
        <w:t>sur</w:t>
      </w:r>
      <w:r>
        <w:rPr>
          <w:rFonts w:ascii="Arial" w:eastAsia="Arial" w:hAnsi="Arial" w:cs="Arial"/>
          <w:b/>
          <w:bCs/>
        </w:rPr>
        <w:t>(norte)</w:t>
      </w:r>
      <w:r w:rsidRPr="00356A4F">
        <w:rPr>
          <w:rFonts w:ascii="Arial" w:eastAsia="Arial" w:hAnsi="Arial" w:cs="Arial"/>
        </w:rPr>
        <w:t>.</w:t>
      </w:r>
    </w:p>
    <w:p w14:paraId="7E75CDD5" w14:textId="77777777" w:rsidR="006C7112" w:rsidRPr="00356A4F" w:rsidRDefault="006C7112" w:rsidP="006C7112">
      <w:pPr>
        <w:numPr>
          <w:ilvl w:val="1"/>
          <w:numId w:val="11"/>
        </w:numPr>
        <w:spacing w:after="280" w:line="240" w:lineRule="auto"/>
        <w:jc w:val="both"/>
        <w:rPr>
          <w:rFonts w:ascii="Arial" w:eastAsia="Arial" w:hAnsi="Arial" w:cs="Arial"/>
        </w:rPr>
      </w:pPr>
      <w:r w:rsidRPr="00356A4F">
        <w:rPr>
          <w:rFonts w:ascii="Arial" w:eastAsia="Arial" w:hAnsi="Arial" w:cs="Arial"/>
        </w:rPr>
        <w:t xml:space="preserve">En las </w:t>
      </w:r>
      <w:r w:rsidRPr="00356A4F">
        <w:rPr>
          <w:rFonts w:ascii="Arial" w:eastAsia="Arial" w:hAnsi="Arial" w:cs="Arial"/>
          <w:b/>
          <w:bCs/>
        </w:rPr>
        <w:t>carreras</w:t>
      </w:r>
      <w:r w:rsidRPr="00356A4F">
        <w:rPr>
          <w:rFonts w:ascii="Arial" w:eastAsia="Arial" w:hAnsi="Arial" w:cs="Arial"/>
        </w:rPr>
        <w:t xml:space="preserve">, los números </w:t>
      </w:r>
      <w:r w:rsidRPr="00356A4F">
        <w:rPr>
          <w:rFonts w:ascii="Arial" w:eastAsia="Arial" w:hAnsi="Arial" w:cs="Arial"/>
          <w:b/>
          <w:bCs/>
        </w:rPr>
        <w:t>pares</w:t>
      </w:r>
      <w:r w:rsidRPr="00356A4F">
        <w:rPr>
          <w:rFonts w:ascii="Arial" w:eastAsia="Arial" w:hAnsi="Arial" w:cs="Arial"/>
        </w:rPr>
        <w:t xml:space="preserve"> estarán en el lado </w:t>
      </w:r>
      <w:r w:rsidRPr="00356A4F">
        <w:rPr>
          <w:rFonts w:ascii="Arial" w:eastAsia="Arial" w:hAnsi="Arial" w:cs="Arial"/>
          <w:b/>
          <w:bCs/>
        </w:rPr>
        <w:t>este</w:t>
      </w:r>
      <w:r>
        <w:rPr>
          <w:rFonts w:ascii="Arial" w:eastAsia="Arial" w:hAnsi="Arial" w:cs="Arial"/>
          <w:b/>
          <w:bCs/>
        </w:rPr>
        <w:t>(oeste)</w:t>
      </w:r>
      <w:r w:rsidRPr="00356A4F">
        <w:rPr>
          <w:rFonts w:ascii="Arial" w:eastAsia="Arial" w:hAnsi="Arial" w:cs="Arial"/>
        </w:rPr>
        <w:t xml:space="preserve"> y los </w:t>
      </w:r>
      <w:r w:rsidRPr="00356A4F">
        <w:rPr>
          <w:rFonts w:ascii="Arial" w:eastAsia="Arial" w:hAnsi="Arial" w:cs="Arial"/>
          <w:b/>
          <w:bCs/>
        </w:rPr>
        <w:t>impares</w:t>
      </w:r>
      <w:r w:rsidRPr="00356A4F">
        <w:rPr>
          <w:rFonts w:ascii="Arial" w:eastAsia="Arial" w:hAnsi="Arial" w:cs="Arial"/>
        </w:rPr>
        <w:t xml:space="preserve"> en el lado </w:t>
      </w:r>
      <w:r w:rsidRPr="00356A4F">
        <w:rPr>
          <w:rFonts w:ascii="Arial" w:eastAsia="Arial" w:hAnsi="Arial" w:cs="Arial"/>
          <w:b/>
          <w:bCs/>
        </w:rPr>
        <w:t>oeste</w:t>
      </w:r>
      <w:r>
        <w:rPr>
          <w:rFonts w:ascii="Arial" w:eastAsia="Arial" w:hAnsi="Arial" w:cs="Arial"/>
          <w:b/>
          <w:bCs/>
        </w:rPr>
        <w:t>(este)</w:t>
      </w:r>
      <w:r w:rsidRPr="00356A4F">
        <w:rPr>
          <w:rFonts w:ascii="Arial" w:eastAsia="Arial" w:hAnsi="Arial" w:cs="Arial"/>
        </w:rPr>
        <w:t>, de acuerdo con el modelo oficial adoptado por el municipio.</w:t>
      </w:r>
    </w:p>
    <w:p w14:paraId="00000096" w14:textId="68F22ED1" w:rsidR="0036083F" w:rsidRDefault="0011228F">
      <w:pPr>
        <w:numPr>
          <w:ilvl w:val="0"/>
          <w:numId w:val="11"/>
        </w:numPr>
        <w:spacing w:after="280" w:line="240" w:lineRule="auto"/>
        <w:jc w:val="both"/>
        <w:rPr>
          <w:rFonts w:ascii="Arial" w:eastAsia="Arial" w:hAnsi="Arial" w:cs="Arial"/>
        </w:rPr>
      </w:pPr>
      <w:r>
        <w:rPr>
          <w:rFonts w:ascii="Arial" w:eastAsia="Arial" w:hAnsi="Arial" w:cs="Arial"/>
        </w:rPr>
        <w:t>Complementos (si aplica): Identificación adicional que permite mayor precisión en la ubicación del predio</w:t>
      </w:r>
      <w:r w:rsidR="009312BB">
        <w:rPr>
          <w:rFonts w:ascii="Arial" w:eastAsia="Arial" w:hAnsi="Arial" w:cs="Arial"/>
        </w:rPr>
        <w:t>, especialmente para predios sometidos a régimen de propiedad horizontal.</w:t>
      </w:r>
    </w:p>
    <w:p w14:paraId="00000097" w14:textId="77777777" w:rsidR="0036083F" w:rsidRDefault="0011228F">
      <w:pPr>
        <w:spacing w:before="280" w:after="280" w:line="240" w:lineRule="auto"/>
        <w:jc w:val="both"/>
        <w:rPr>
          <w:rFonts w:ascii="Arial" w:eastAsia="Arial" w:hAnsi="Arial" w:cs="Arial"/>
        </w:rPr>
      </w:pPr>
      <w:r>
        <w:rPr>
          <w:rFonts w:ascii="Arial" w:eastAsia="Arial" w:hAnsi="Arial" w:cs="Arial"/>
          <w:b/>
          <w:bCs/>
        </w:rPr>
        <w:lastRenderedPageBreak/>
        <w:t xml:space="preserve">Artículo 12. Lógica de asignación. </w:t>
      </w:r>
      <w:r>
        <w:rPr>
          <w:rFonts w:ascii="Arial" w:eastAsia="Arial" w:hAnsi="Arial" w:cs="Arial"/>
        </w:rPr>
        <w:t>La asignación de nomenclatura se orienta por los siguientes criterios:</w:t>
      </w:r>
    </w:p>
    <w:p w14:paraId="00000098" w14:textId="77777777" w:rsidR="0036083F" w:rsidRDefault="0011228F">
      <w:pPr>
        <w:numPr>
          <w:ilvl w:val="0"/>
          <w:numId w:val="12"/>
        </w:numPr>
        <w:spacing w:before="280" w:after="0" w:line="240" w:lineRule="auto"/>
        <w:jc w:val="both"/>
        <w:rPr>
          <w:rFonts w:ascii="Arial" w:eastAsia="Arial" w:hAnsi="Arial" w:cs="Arial"/>
        </w:rPr>
      </w:pPr>
      <w:r>
        <w:rPr>
          <w:rFonts w:ascii="Arial" w:eastAsia="Arial" w:hAnsi="Arial" w:cs="Arial"/>
        </w:rPr>
        <w:t>Coherencia con la orientación de la vía</w:t>
      </w:r>
    </w:p>
    <w:p w14:paraId="00000099" w14:textId="77777777" w:rsidR="0036083F" w:rsidRDefault="0011228F">
      <w:pPr>
        <w:numPr>
          <w:ilvl w:val="0"/>
          <w:numId w:val="12"/>
        </w:numPr>
        <w:spacing w:after="0" w:line="240" w:lineRule="auto"/>
        <w:jc w:val="both"/>
        <w:rPr>
          <w:rFonts w:ascii="Arial" w:eastAsia="Arial" w:hAnsi="Arial" w:cs="Arial"/>
        </w:rPr>
      </w:pPr>
      <w:r>
        <w:rPr>
          <w:rFonts w:ascii="Arial" w:eastAsia="Arial" w:hAnsi="Arial" w:cs="Arial"/>
        </w:rPr>
        <w:t>Secuencia numérica progresiva desde el eje estructurante más cercano</w:t>
      </w:r>
    </w:p>
    <w:p w14:paraId="0000009A" w14:textId="77777777" w:rsidR="0036083F" w:rsidRDefault="0011228F">
      <w:pPr>
        <w:numPr>
          <w:ilvl w:val="0"/>
          <w:numId w:val="12"/>
        </w:numPr>
        <w:spacing w:after="0" w:line="240" w:lineRule="auto"/>
        <w:jc w:val="both"/>
        <w:rPr>
          <w:rFonts w:ascii="Arial" w:eastAsia="Arial" w:hAnsi="Arial" w:cs="Arial"/>
        </w:rPr>
      </w:pPr>
      <w:r>
        <w:rPr>
          <w:rFonts w:ascii="Arial" w:eastAsia="Arial" w:hAnsi="Arial" w:cs="Arial"/>
        </w:rPr>
        <w:t>Evitación de duplicidades y ambigüedades</w:t>
      </w:r>
    </w:p>
    <w:p w14:paraId="0000009B" w14:textId="77777777" w:rsidR="0036083F" w:rsidRDefault="0011228F">
      <w:pPr>
        <w:numPr>
          <w:ilvl w:val="0"/>
          <w:numId w:val="12"/>
        </w:numPr>
        <w:spacing w:after="280" w:line="240" w:lineRule="auto"/>
        <w:jc w:val="both"/>
        <w:rPr>
          <w:rFonts w:ascii="Arial" w:eastAsia="Arial" w:hAnsi="Arial" w:cs="Arial"/>
        </w:rPr>
      </w:pPr>
      <w:r>
        <w:rPr>
          <w:rFonts w:ascii="Arial" w:eastAsia="Arial" w:hAnsi="Arial" w:cs="Arial"/>
        </w:rPr>
        <w:t>Inclusión de accesos secundarios o adicionales conforme a la estructura del predio</w:t>
      </w:r>
    </w:p>
    <w:p w14:paraId="0000009C" w14:textId="6C300591" w:rsidR="0036083F" w:rsidRDefault="0011228F">
      <w:pPr>
        <w:spacing w:before="280" w:after="280" w:line="240" w:lineRule="auto"/>
        <w:jc w:val="both"/>
        <w:rPr>
          <w:rFonts w:ascii="Arial" w:eastAsia="Arial" w:hAnsi="Arial" w:cs="Arial"/>
        </w:rPr>
      </w:pPr>
      <w:r>
        <w:rPr>
          <w:rFonts w:ascii="Arial" w:eastAsia="Arial" w:hAnsi="Arial" w:cs="Arial"/>
          <w:b/>
          <w:bCs/>
        </w:rPr>
        <w:t xml:space="preserve">Artículo 13. Aplicación progresiva. </w:t>
      </w:r>
      <w:r>
        <w:rPr>
          <w:rFonts w:ascii="Arial" w:eastAsia="Arial" w:hAnsi="Arial" w:cs="Arial"/>
        </w:rPr>
        <w:t xml:space="preserve">La implementación del modelo técnico de nomenclatura se realizará de manera progresiva, conforme a las capacidades técnicas, operativas y presupuestales del municipio. La dependencia o entidad </w:t>
      </w:r>
      <w:r w:rsidR="00D357F8">
        <w:rPr>
          <w:rFonts w:ascii="Arial" w:eastAsia="Arial" w:hAnsi="Arial" w:cs="Arial"/>
        </w:rPr>
        <w:t>responsable podrá</w:t>
      </w:r>
      <w:r>
        <w:rPr>
          <w:rFonts w:ascii="Arial" w:eastAsia="Arial" w:hAnsi="Arial" w:cs="Arial"/>
        </w:rPr>
        <w:t xml:space="preserve"> establecer fases de aplicación, priorizando sectores con mayor necesidad de actualización, consolidación o certificación de nomenclatura, garantizando la continuidad y sostenibilidad del proceso.</w:t>
      </w:r>
    </w:p>
    <w:p w14:paraId="0000009D" w14:textId="77777777" w:rsidR="0036083F" w:rsidRDefault="0011228F">
      <w:pPr>
        <w:spacing w:before="280" w:after="280" w:line="240" w:lineRule="auto"/>
        <w:jc w:val="both"/>
        <w:rPr>
          <w:rFonts w:ascii="Arial" w:eastAsia="Arial" w:hAnsi="Arial" w:cs="Arial"/>
        </w:rPr>
      </w:pPr>
      <w:r>
        <w:rPr>
          <w:rFonts w:ascii="Arial" w:eastAsia="Arial" w:hAnsi="Arial" w:cs="Arial"/>
          <w:b/>
          <w:bCs/>
        </w:rPr>
        <w:t xml:space="preserve">Artículo 14. Representación cartográfica. </w:t>
      </w:r>
      <w:r>
        <w:rPr>
          <w:rFonts w:ascii="Arial" w:eastAsia="Arial" w:hAnsi="Arial" w:cs="Arial"/>
        </w:rPr>
        <w:t>La estructura del modelo técnico de nomenclatura, incluyendo la malla vial, los cuadrantes, la secuencia numérica y la lógica de asignación, se encuentra representada en el Plano Técnico de Nomenclatura, el cual forma parte integral del presente Acuerdo como Anexo Técnico 3 y podrá ser actualizado periódicamente conforme a las necesidades del municipio, mediante acto administrativo.</w:t>
      </w:r>
    </w:p>
    <w:p w14:paraId="0000009E" w14:textId="77777777" w:rsidR="0036083F" w:rsidRDefault="0036083F">
      <w:pPr>
        <w:spacing w:before="280" w:after="280" w:line="240" w:lineRule="auto"/>
        <w:jc w:val="both"/>
        <w:rPr>
          <w:rFonts w:ascii="Arial" w:eastAsia="Arial" w:hAnsi="Arial" w:cs="Arial"/>
          <w:highlight w:val="yellow"/>
        </w:rPr>
      </w:pPr>
    </w:p>
    <w:p w14:paraId="0000009F" w14:textId="77777777" w:rsidR="0036083F" w:rsidRDefault="0011228F">
      <w:pPr>
        <w:spacing w:before="280" w:after="280" w:line="240" w:lineRule="auto"/>
        <w:jc w:val="center"/>
        <w:rPr>
          <w:rFonts w:ascii="Arial" w:eastAsia="Arial" w:hAnsi="Arial" w:cs="Arial"/>
          <w:b/>
          <w:bCs/>
        </w:rPr>
      </w:pPr>
      <w:r>
        <w:rPr>
          <w:rFonts w:ascii="Arial" w:eastAsia="Arial" w:hAnsi="Arial" w:cs="Arial"/>
          <w:b/>
          <w:bCs/>
        </w:rPr>
        <w:t>CAPÍTULO V – RESPONSABILIDADES INSTITUCIONALES</w:t>
      </w:r>
    </w:p>
    <w:p w14:paraId="000000A0" w14:textId="77777777" w:rsidR="0036083F" w:rsidRDefault="0011228F">
      <w:pPr>
        <w:spacing w:before="280" w:after="280" w:line="240" w:lineRule="auto"/>
        <w:jc w:val="both"/>
        <w:rPr>
          <w:rFonts w:ascii="Arial" w:eastAsia="Arial" w:hAnsi="Arial" w:cs="Arial"/>
        </w:rPr>
      </w:pPr>
      <w:r>
        <w:rPr>
          <w:rFonts w:ascii="Arial" w:eastAsia="Arial" w:hAnsi="Arial" w:cs="Arial"/>
          <w:b/>
          <w:bCs/>
        </w:rPr>
        <w:t xml:space="preserve">Artículo 15. Secretaría de Planeación o dependencia delegada. </w:t>
      </w:r>
      <w:r>
        <w:rPr>
          <w:rFonts w:ascii="Arial" w:eastAsia="Arial" w:hAnsi="Arial" w:cs="Arial"/>
        </w:rPr>
        <w:t>La Secretaría de Planeación o la dependencia que el municipio designe será la dependencia responsable de coordinar la implementación, actualización y oficialización del sistema de nomenclatura vial y domiciliaria. Esta entidad deberá:</w:t>
      </w:r>
    </w:p>
    <w:p w14:paraId="000000A1" w14:textId="77777777" w:rsidR="0036083F" w:rsidRDefault="0011228F">
      <w:pPr>
        <w:numPr>
          <w:ilvl w:val="0"/>
          <w:numId w:val="13"/>
        </w:numPr>
        <w:spacing w:before="280" w:after="0" w:line="240" w:lineRule="auto"/>
        <w:jc w:val="both"/>
        <w:rPr>
          <w:rFonts w:ascii="Arial" w:eastAsia="Arial" w:hAnsi="Arial" w:cs="Arial"/>
        </w:rPr>
      </w:pPr>
      <w:r>
        <w:rPr>
          <w:rFonts w:ascii="Arial" w:eastAsia="Arial" w:hAnsi="Arial" w:cs="Arial"/>
        </w:rPr>
        <w:t>Administrar el registro técnico oficial de nomenclatura.</w:t>
      </w:r>
    </w:p>
    <w:p w14:paraId="000000A2" w14:textId="77777777" w:rsidR="0036083F" w:rsidRDefault="0011228F">
      <w:pPr>
        <w:numPr>
          <w:ilvl w:val="0"/>
          <w:numId w:val="13"/>
        </w:numPr>
        <w:spacing w:after="0" w:line="240" w:lineRule="auto"/>
        <w:jc w:val="both"/>
        <w:rPr>
          <w:rFonts w:ascii="Arial" w:eastAsia="Arial" w:hAnsi="Arial" w:cs="Arial"/>
        </w:rPr>
      </w:pPr>
      <w:r>
        <w:rPr>
          <w:rFonts w:ascii="Arial" w:eastAsia="Arial" w:hAnsi="Arial" w:cs="Arial"/>
        </w:rPr>
        <w:t>Coordinar la elaboración y actualización de los mapas y planos técnicos.</w:t>
      </w:r>
    </w:p>
    <w:p w14:paraId="000000A3" w14:textId="77777777" w:rsidR="0036083F" w:rsidRDefault="0011228F">
      <w:pPr>
        <w:numPr>
          <w:ilvl w:val="0"/>
          <w:numId w:val="13"/>
        </w:numPr>
        <w:spacing w:after="0" w:line="240" w:lineRule="auto"/>
        <w:jc w:val="both"/>
        <w:rPr>
          <w:rFonts w:ascii="Arial" w:eastAsia="Arial" w:hAnsi="Arial" w:cs="Arial"/>
        </w:rPr>
      </w:pPr>
      <w:r>
        <w:rPr>
          <w:rFonts w:ascii="Arial" w:eastAsia="Arial" w:hAnsi="Arial" w:cs="Arial"/>
        </w:rPr>
        <w:t>Validar las solicitudes de asignación, ajuste y certificación de nomenclatura.</w:t>
      </w:r>
    </w:p>
    <w:p w14:paraId="000000A4" w14:textId="77777777" w:rsidR="0036083F" w:rsidRDefault="0011228F">
      <w:pPr>
        <w:numPr>
          <w:ilvl w:val="0"/>
          <w:numId w:val="13"/>
        </w:numPr>
        <w:spacing w:after="0" w:line="240" w:lineRule="auto"/>
        <w:jc w:val="both"/>
        <w:rPr>
          <w:rFonts w:ascii="Arial" w:eastAsia="Arial" w:hAnsi="Arial" w:cs="Arial"/>
        </w:rPr>
      </w:pPr>
      <w:r>
        <w:rPr>
          <w:rFonts w:ascii="Arial" w:eastAsia="Arial" w:hAnsi="Arial" w:cs="Arial"/>
        </w:rPr>
        <w:t>Emitir los actos administrativos correspondientes.</w:t>
      </w:r>
    </w:p>
    <w:p w14:paraId="000000A5" w14:textId="77777777" w:rsidR="0036083F" w:rsidRDefault="0011228F">
      <w:pPr>
        <w:numPr>
          <w:ilvl w:val="0"/>
          <w:numId w:val="13"/>
        </w:numPr>
        <w:spacing w:after="280" w:line="240" w:lineRule="auto"/>
        <w:jc w:val="both"/>
        <w:rPr>
          <w:rFonts w:ascii="Arial" w:eastAsia="Arial" w:hAnsi="Arial" w:cs="Arial"/>
        </w:rPr>
      </w:pPr>
      <w:r>
        <w:rPr>
          <w:rFonts w:ascii="Arial" w:eastAsia="Arial" w:hAnsi="Arial" w:cs="Arial"/>
        </w:rPr>
        <w:t>Articularse con otras dependencias municipales y entidades externas para garantizar la interoperabilidad de la información.</w:t>
      </w:r>
    </w:p>
    <w:p w14:paraId="000000A6" w14:textId="77777777" w:rsidR="0036083F" w:rsidRDefault="0011228F">
      <w:pPr>
        <w:spacing w:before="280" w:after="280" w:line="240" w:lineRule="auto"/>
        <w:jc w:val="both"/>
        <w:rPr>
          <w:rFonts w:ascii="Arial" w:eastAsia="Arial" w:hAnsi="Arial" w:cs="Arial"/>
        </w:rPr>
      </w:pPr>
      <w:r>
        <w:rPr>
          <w:rFonts w:ascii="Arial" w:eastAsia="Arial" w:hAnsi="Arial" w:cs="Arial"/>
          <w:b/>
          <w:bCs/>
        </w:rPr>
        <w:t xml:space="preserve">Artículo 16. Otras dependencias municipales. </w:t>
      </w:r>
      <w:r>
        <w:rPr>
          <w:rFonts w:ascii="Arial" w:eastAsia="Arial" w:hAnsi="Arial" w:cs="Arial"/>
        </w:rPr>
        <w:t>Las demás dependencias del municipio deberán apoyar la implementación del sistema de nomenclatura conforme a sus competencias. En particular:</w:t>
      </w:r>
    </w:p>
    <w:p w14:paraId="000000A7" w14:textId="77777777" w:rsidR="0036083F" w:rsidRDefault="0011228F">
      <w:pPr>
        <w:numPr>
          <w:ilvl w:val="0"/>
          <w:numId w:val="4"/>
        </w:numPr>
        <w:spacing w:before="280" w:after="0" w:line="240" w:lineRule="auto"/>
        <w:jc w:val="both"/>
        <w:rPr>
          <w:rFonts w:ascii="Arial" w:eastAsia="Arial" w:hAnsi="Arial" w:cs="Arial"/>
        </w:rPr>
      </w:pPr>
      <w:r>
        <w:rPr>
          <w:rFonts w:ascii="Arial" w:eastAsia="Arial" w:hAnsi="Arial" w:cs="Arial"/>
        </w:rPr>
        <w:t>La Secretaría de Gobierno o equivalente deberá difundir, socializar y garantizar la divulgación y cumplimiento de la nomenclatura oficial.</w:t>
      </w:r>
    </w:p>
    <w:p w14:paraId="000000A8" w14:textId="77777777" w:rsidR="0036083F" w:rsidRDefault="0011228F">
      <w:pPr>
        <w:numPr>
          <w:ilvl w:val="0"/>
          <w:numId w:val="4"/>
        </w:numPr>
        <w:spacing w:after="0" w:line="240" w:lineRule="auto"/>
        <w:jc w:val="both"/>
        <w:rPr>
          <w:rFonts w:ascii="Arial" w:eastAsia="Arial" w:hAnsi="Arial" w:cs="Arial"/>
        </w:rPr>
      </w:pPr>
      <w:r>
        <w:rPr>
          <w:rFonts w:ascii="Arial" w:eastAsia="Arial" w:hAnsi="Arial" w:cs="Arial"/>
        </w:rPr>
        <w:lastRenderedPageBreak/>
        <w:t>La Secretaría de Hacienda o Finanzas Públicas deberá garantizar la disponibilidad presupuestal necesaria para la ejecución de las actividades relacionadas con el sistema.</w:t>
      </w:r>
    </w:p>
    <w:p w14:paraId="000000A9" w14:textId="77777777" w:rsidR="0036083F" w:rsidRDefault="0011228F">
      <w:pPr>
        <w:numPr>
          <w:ilvl w:val="0"/>
          <w:numId w:val="4"/>
        </w:numPr>
        <w:spacing w:after="0" w:line="240" w:lineRule="auto"/>
        <w:jc w:val="both"/>
        <w:rPr>
          <w:rFonts w:ascii="Arial" w:eastAsia="Arial" w:hAnsi="Arial" w:cs="Arial"/>
        </w:rPr>
      </w:pPr>
      <w:r>
        <w:rPr>
          <w:rFonts w:ascii="Arial" w:eastAsia="Arial" w:hAnsi="Arial" w:cs="Arial"/>
        </w:rPr>
        <w:t>La Secretaría de Tránsito y Transporte deberá articular la señalización vial con la nomenclatura oficial, asegurando su coherencia con los mapas de tránsito.</w:t>
      </w:r>
    </w:p>
    <w:p w14:paraId="000000AA" w14:textId="77777777" w:rsidR="0036083F" w:rsidRDefault="0011228F">
      <w:pPr>
        <w:numPr>
          <w:ilvl w:val="0"/>
          <w:numId w:val="4"/>
        </w:numPr>
        <w:spacing w:after="0" w:line="240" w:lineRule="auto"/>
        <w:jc w:val="both"/>
        <w:rPr>
          <w:rFonts w:ascii="Arial" w:eastAsia="Arial" w:hAnsi="Arial" w:cs="Arial"/>
        </w:rPr>
      </w:pPr>
      <w:r>
        <w:rPr>
          <w:rFonts w:ascii="Arial" w:eastAsia="Arial" w:hAnsi="Arial" w:cs="Arial"/>
        </w:rPr>
        <w:t>La Oficina de Catastro o equivalente deberá incorporar la nomenclatura oficial en sus bases de datos y sistemas de información geográfica.</w:t>
      </w:r>
    </w:p>
    <w:p w14:paraId="000000AB" w14:textId="77777777" w:rsidR="0036083F" w:rsidRDefault="0011228F">
      <w:pPr>
        <w:numPr>
          <w:ilvl w:val="0"/>
          <w:numId w:val="4"/>
        </w:numPr>
        <w:spacing w:after="280" w:line="240" w:lineRule="auto"/>
        <w:jc w:val="both"/>
        <w:rPr>
          <w:rFonts w:ascii="Arial" w:eastAsia="Arial" w:hAnsi="Arial" w:cs="Arial"/>
        </w:rPr>
      </w:pPr>
      <w:r>
        <w:rPr>
          <w:rFonts w:ascii="Arial" w:eastAsia="Arial" w:hAnsi="Arial" w:cs="Arial"/>
        </w:rPr>
        <w:t>La Secretaría de Obras Públicas o equivalente deberá coordinar la instalación física de placas viales y domiciliarias.</w:t>
      </w:r>
    </w:p>
    <w:p w14:paraId="000000AC" w14:textId="77777777" w:rsidR="0036083F" w:rsidRPr="00D357F8" w:rsidRDefault="0011228F">
      <w:pPr>
        <w:spacing w:before="280" w:after="280" w:line="240" w:lineRule="auto"/>
        <w:jc w:val="both"/>
        <w:rPr>
          <w:rFonts w:ascii="Arial" w:eastAsia="Arial" w:hAnsi="Arial" w:cs="Arial"/>
        </w:rPr>
      </w:pPr>
      <w:r>
        <w:rPr>
          <w:rFonts w:ascii="Arial" w:eastAsia="Arial" w:hAnsi="Arial" w:cs="Arial"/>
          <w:b/>
          <w:bCs/>
        </w:rPr>
        <w:t>Artículo 17. Fuentes de financiación.</w:t>
      </w:r>
      <w:r>
        <w:rPr>
          <w:rFonts w:ascii="Arial" w:eastAsia="Arial" w:hAnsi="Arial" w:cs="Arial"/>
        </w:rPr>
        <w:t xml:space="preserve"> La ejecución de las acciones contempladas en el presente Acuerdo se financiará con recursos del presupuesto municipal asignados a la Secretaría de Planeación Municipal o a la dependencia que cumpla funciones equivalentes, de acuerdo con la estructura administrativa del municipio. De ig</w:t>
      </w:r>
      <w:r w:rsidRPr="00D357F8">
        <w:rPr>
          <w:rFonts w:ascii="Arial" w:eastAsia="Arial" w:hAnsi="Arial" w:cs="Arial"/>
        </w:rPr>
        <w:t>ual forma, podrán gestionarse recursos complementarios mediante:</w:t>
      </w:r>
    </w:p>
    <w:p w14:paraId="000000AD" w14:textId="77777777" w:rsidR="0036083F" w:rsidRPr="00D357F8" w:rsidRDefault="0011228F" w:rsidP="00D357F8">
      <w:pPr>
        <w:numPr>
          <w:ilvl w:val="0"/>
          <w:numId w:val="26"/>
        </w:numPr>
        <w:spacing w:before="280" w:after="0" w:line="240" w:lineRule="auto"/>
        <w:jc w:val="both"/>
        <w:rPr>
          <w:rFonts w:ascii="Arial" w:eastAsia="Arial" w:hAnsi="Arial" w:cs="Arial"/>
        </w:rPr>
      </w:pPr>
      <w:r w:rsidRPr="00D357F8">
        <w:rPr>
          <w:rFonts w:ascii="Arial" w:eastAsia="Arial" w:hAnsi="Arial" w:cs="Arial"/>
        </w:rPr>
        <w:t>Convenios interadministrativos con entidades públicas del orden nacional, departamental o municipal;</w:t>
      </w:r>
    </w:p>
    <w:p w14:paraId="000000AE" w14:textId="77777777" w:rsidR="0036083F" w:rsidRPr="00D357F8" w:rsidRDefault="0011228F" w:rsidP="00D357F8">
      <w:pPr>
        <w:numPr>
          <w:ilvl w:val="0"/>
          <w:numId w:val="26"/>
        </w:numPr>
        <w:spacing w:after="0" w:line="240" w:lineRule="auto"/>
        <w:jc w:val="both"/>
        <w:rPr>
          <w:rFonts w:ascii="Arial" w:eastAsia="Arial" w:hAnsi="Arial" w:cs="Arial"/>
        </w:rPr>
      </w:pPr>
      <w:r w:rsidRPr="00D357F8">
        <w:rPr>
          <w:rFonts w:ascii="Arial" w:eastAsia="Arial" w:hAnsi="Arial" w:cs="Arial"/>
        </w:rPr>
        <w:t>Cooperación técnica o financiera con organismos de cooperación internacional;</w:t>
      </w:r>
    </w:p>
    <w:p w14:paraId="000000AF" w14:textId="77777777" w:rsidR="0036083F" w:rsidRPr="00D357F8" w:rsidRDefault="0011228F" w:rsidP="00D357F8">
      <w:pPr>
        <w:numPr>
          <w:ilvl w:val="0"/>
          <w:numId w:val="26"/>
        </w:numPr>
        <w:spacing w:after="0" w:line="240" w:lineRule="auto"/>
        <w:jc w:val="both"/>
        <w:rPr>
          <w:rFonts w:ascii="Arial" w:eastAsia="Arial" w:hAnsi="Arial" w:cs="Arial"/>
        </w:rPr>
      </w:pPr>
      <w:r w:rsidRPr="00D357F8">
        <w:rPr>
          <w:rFonts w:ascii="Arial" w:eastAsia="Arial" w:hAnsi="Arial" w:cs="Arial"/>
        </w:rPr>
        <w:t>Aportes del sector privado y alianzas público-privadas que contribuyan al fortalecimiento del sistema de nomenclatura; y</w:t>
      </w:r>
    </w:p>
    <w:p w14:paraId="000000B0" w14:textId="77777777" w:rsidR="0036083F" w:rsidRDefault="0011228F" w:rsidP="00D357F8">
      <w:pPr>
        <w:numPr>
          <w:ilvl w:val="0"/>
          <w:numId w:val="26"/>
        </w:numPr>
        <w:spacing w:line="240" w:lineRule="auto"/>
        <w:jc w:val="both"/>
      </w:pPr>
      <w:r w:rsidRPr="00D357F8">
        <w:rPr>
          <w:rFonts w:ascii="Arial" w:eastAsia="Arial" w:hAnsi="Arial" w:cs="Arial"/>
        </w:rPr>
        <w:t>Otras fuentes permitidas por la ley y las normas fiscales vigentes.</w:t>
      </w:r>
      <w:r>
        <w:rPr>
          <w:b/>
          <w:bCs/>
        </w:rPr>
        <w:br/>
      </w:r>
    </w:p>
    <w:p w14:paraId="000000B1" w14:textId="77777777" w:rsidR="0036083F" w:rsidRDefault="0011228F">
      <w:pPr>
        <w:spacing w:before="280" w:after="280" w:line="240" w:lineRule="auto"/>
        <w:jc w:val="both"/>
        <w:rPr>
          <w:rFonts w:ascii="Arial" w:eastAsia="Arial" w:hAnsi="Arial" w:cs="Arial"/>
        </w:rPr>
      </w:pPr>
      <w:r>
        <w:rPr>
          <w:rFonts w:ascii="Arial" w:eastAsia="Arial" w:hAnsi="Arial" w:cs="Arial"/>
          <w:b/>
          <w:bCs/>
        </w:rPr>
        <w:t xml:space="preserve">Artículo 18. Articulación interinstitucional. </w:t>
      </w:r>
      <w:r>
        <w:rPr>
          <w:rFonts w:ascii="Arial" w:eastAsia="Arial" w:hAnsi="Arial" w:cs="Arial"/>
        </w:rPr>
        <w:t>El municipio podrá establecer convenios, alianzas o mecanismos de cooperación con las entidades del orden nacional, regional o local, así como con empresas de servicios públicos, gestores catastrales y organizaciones comunitarias, para facilitar la implementación, actualización y uso de la nomenclatura oficial.</w:t>
      </w:r>
    </w:p>
    <w:p w14:paraId="000000B2" w14:textId="77777777" w:rsidR="0036083F" w:rsidRDefault="0011228F">
      <w:pPr>
        <w:spacing w:before="280" w:after="280" w:line="240" w:lineRule="auto"/>
        <w:jc w:val="both"/>
        <w:rPr>
          <w:rFonts w:ascii="Arial" w:eastAsia="Arial" w:hAnsi="Arial" w:cs="Arial"/>
          <w:b/>
          <w:bCs/>
          <w:color w:val="EE0000"/>
        </w:rPr>
      </w:pPr>
      <w:r>
        <w:rPr>
          <w:rFonts w:ascii="Arial" w:eastAsia="Arial" w:hAnsi="Arial" w:cs="Arial"/>
          <w:b/>
          <w:bCs/>
        </w:rPr>
        <w:t xml:space="preserve">Artículo 19. Participación ciudadana. </w:t>
      </w:r>
      <w:r>
        <w:rPr>
          <w:rFonts w:ascii="Arial" w:eastAsia="Arial" w:hAnsi="Arial" w:cs="Arial"/>
        </w:rPr>
        <w:t>La ciudadanía podrá participar en los procesos de validación, ajuste y divulgación de la nomenclatura oficial, mediante mecanismos de consulta, observación y solicitud establecidos por el municipio. La autoridad competente podrá disponer de canales digitales, audiencias públicas o mesas técnicas para recoger aportes ciudadanos orientados a mejorar la precisión, pertinencia y apropiación comunitaria de la nomenclatura oficial.</w:t>
      </w:r>
    </w:p>
    <w:p w14:paraId="000000B3" w14:textId="77777777" w:rsidR="0036083F" w:rsidRDefault="0011228F">
      <w:pPr>
        <w:pStyle w:val="Ttulo3"/>
        <w:keepNext w:val="0"/>
        <w:keepLines w:val="0"/>
        <w:spacing w:before="280" w:line="240" w:lineRule="auto"/>
        <w:jc w:val="both"/>
        <w:rPr>
          <w:rFonts w:ascii="Arial" w:eastAsia="Arial" w:hAnsi="Arial" w:cs="Arial"/>
          <w:color w:val="EE0000"/>
          <w:sz w:val="24"/>
          <w:szCs w:val="24"/>
        </w:rPr>
      </w:pPr>
      <w:bookmarkStart w:id="0" w:name="_heading=h.t4bypye04cv4" w:colFirst="0" w:colLast="0"/>
      <w:bookmarkEnd w:id="0"/>
      <w:r>
        <w:rPr>
          <w:rFonts w:ascii="Arial" w:eastAsia="Arial" w:hAnsi="Arial" w:cs="Arial"/>
          <w:b/>
          <w:bCs/>
          <w:color w:val="000000"/>
          <w:sz w:val="24"/>
          <w:szCs w:val="24"/>
        </w:rPr>
        <w:t>Artículo 20. Responsabilidades complementarias.</w:t>
      </w:r>
      <w:r>
        <w:rPr>
          <w:rFonts w:ascii="Arial" w:eastAsia="Arial" w:hAnsi="Arial" w:cs="Arial"/>
          <w:color w:val="000000"/>
          <w:sz w:val="24"/>
          <w:szCs w:val="24"/>
        </w:rPr>
        <w:t xml:space="preserve"> El municipio podrá incorporar otras responsabilidades institucionales o funcionales relacionadas con la gestión, administración, interoperabilidad, divulgación o materialización de la nomenclatura vial y domiciliaria, asignándolas a entidades, dependencias u organizaciones que considere pertinentes. Dichas responsabilidades deberán estar alineadas con los objetivos, principios y directrices del presente Acuerdo y podrán referirse a acciones, procesos o funciones complementarias que fortalezcan la implementación, </w:t>
      </w:r>
      <w:r>
        <w:rPr>
          <w:rFonts w:ascii="Arial" w:eastAsia="Arial" w:hAnsi="Arial" w:cs="Arial"/>
          <w:color w:val="000000"/>
          <w:sz w:val="24"/>
          <w:szCs w:val="24"/>
        </w:rPr>
        <w:lastRenderedPageBreak/>
        <w:t>sostenibilidad y actualización continua del sistema de nomenclatura en el territorio municipal.</w:t>
      </w:r>
    </w:p>
    <w:p w14:paraId="000000B4" w14:textId="77777777" w:rsidR="0036083F" w:rsidRDefault="0036083F">
      <w:pPr>
        <w:spacing w:before="280" w:after="280" w:line="240" w:lineRule="auto"/>
        <w:jc w:val="both"/>
        <w:rPr>
          <w:rFonts w:ascii="Arial" w:eastAsia="Arial" w:hAnsi="Arial" w:cs="Arial"/>
          <w:color w:val="EE0000"/>
        </w:rPr>
      </w:pPr>
    </w:p>
    <w:p w14:paraId="000000B5" w14:textId="77777777" w:rsidR="0036083F" w:rsidRDefault="0011228F">
      <w:pPr>
        <w:spacing w:before="280" w:after="280" w:line="240" w:lineRule="auto"/>
        <w:jc w:val="center"/>
        <w:rPr>
          <w:rFonts w:ascii="Arial" w:eastAsia="Arial" w:hAnsi="Arial" w:cs="Arial"/>
          <w:b/>
          <w:bCs/>
        </w:rPr>
      </w:pPr>
      <w:r>
        <w:rPr>
          <w:rFonts w:ascii="Arial" w:eastAsia="Arial" w:hAnsi="Arial" w:cs="Arial"/>
          <w:b/>
          <w:bCs/>
        </w:rPr>
        <w:t>CAPÍTULO VI – ASIGNACIÓN, AJUSTE Y CERTIFICACIÓN</w:t>
      </w:r>
    </w:p>
    <w:p w14:paraId="000000B6" w14:textId="77777777" w:rsidR="0036083F" w:rsidRDefault="0011228F">
      <w:pPr>
        <w:spacing w:before="280" w:after="280" w:line="240" w:lineRule="auto"/>
        <w:jc w:val="both"/>
        <w:rPr>
          <w:rFonts w:ascii="Arial" w:eastAsia="Arial" w:hAnsi="Arial" w:cs="Arial"/>
        </w:rPr>
      </w:pPr>
      <w:r>
        <w:rPr>
          <w:rFonts w:ascii="Arial" w:eastAsia="Arial" w:hAnsi="Arial" w:cs="Arial"/>
          <w:b/>
          <w:bCs/>
        </w:rPr>
        <w:t xml:space="preserve">Artículo 21. Asignación de nomenclatura. </w:t>
      </w:r>
      <w:r>
        <w:rPr>
          <w:rFonts w:ascii="Arial" w:eastAsia="Arial" w:hAnsi="Arial" w:cs="Arial"/>
        </w:rPr>
        <w:t>La asignación de nomenclatura vial y domiciliaria se realizará conforme al modelo técnico adoptado por el municipio, teniendo en cuenta la estructura de la malla vial, la delimitación de Zonas Unificadas de Nomenclatura Urbana (ZUNU) y los criterios de orientación, secuencia y jerarquía establecidos en el presente Acuerdo. La asignación podrá realizarse:</w:t>
      </w:r>
    </w:p>
    <w:p w14:paraId="000000B7" w14:textId="77777777" w:rsidR="0036083F" w:rsidRDefault="0011228F">
      <w:pPr>
        <w:numPr>
          <w:ilvl w:val="0"/>
          <w:numId w:val="3"/>
        </w:numPr>
        <w:spacing w:before="280" w:after="0" w:line="240" w:lineRule="auto"/>
        <w:jc w:val="both"/>
        <w:rPr>
          <w:rFonts w:ascii="Arial" w:eastAsia="Arial" w:hAnsi="Arial" w:cs="Arial"/>
        </w:rPr>
      </w:pPr>
      <w:r>
        <w:rPr>
          <w:rFonts w:ascii="Arial" w:eastAsia="Arial" w:hAnsi="Arial" w:cs="Arial"/>
        </w:rPr>
        <w:t>De oficio por la administración municipal, en desarrollo de sus facultades y atribuciones.</w:t>
      </w:r>
    </w:p>
    <w:p w14:paraId="000000B8" w14:textId="77777777" w:rsidR="0036083F" w:rsidRDefault="0011228F">
      <w:pPr>
        <w:numPr>
          <w:ilvl w:val="0"/>
          <w:numId w:val="3"/>
        </w:numPr>
        <w:spacing w:after="280" w:line="240" w:lineRule="auto"/>
        <w:jc w:val="both"/>
        <w:rPr>
          <w:rFonts w:ascii="Arial" w:eastAsia="Arial" w:hAnsi="Arial" w:cs="Arial"/>
        </w:rPr>
      </w:pPr>
      <w:r>
        <w:rPr>
          <w:rFonts w:ascii="Arial" w:eastAsia="Arial" w:hAnsi="Arial" w:cs="Arial"/>
        </w:rPr>
        <w:t>Por solicitud de la parte interesada, mediante trámite formal ante la Secretaría de Planeación o la dependencia que el municipio delegue para tal fin.</w:t>
      </w:r>
    </w:p>
    <w:p w14:paraId="000000B9" w14:textId="259C9C24" w:rsidR="0036083F" w:rsidRDefault="0011228F">
      <w:pPr>
        <w:spacing w:before="280" w:after="280" w:line="240" w:lineRule="auto"/>
        <w:jc w:val="both"/>
        <w:rPr>
          <w:rFonts w:ascii="Arial" w:eastAsia="Arial" w:hAnsi="Arial" w:cs="Arial"/>
        </w:rPr>
      </w:pPr>
      <w:r>
        <w:rPr>
          <w:rFonts w:ascii="Arial" w:eastAsia="Arial" w:hAnsi="Arial" w:cs="Arial"/>
        </w:rPr>
        <w:t xml:space="preserve">En caso de solicitudes presentadas por parte interesada, la administración municipal establecerá el procedimiento correspondiente que se deberá surtir, que incluirá: los requisitos mínimos, los tiempos de respuesta, los mecanismos de radicación y seguimiento, así como los canales institucionales para su divulgación. </w:t>
      </w:r>
    </w:p>
    <w:p w14:paraId="000000BA" w14:textId="77777777" w:rsidR="0036083F" w:rsidRDefault="0011228F">
      <w:pPr>
        <w:spacing w:before="280" w:after="280" w:line="240" w:lineRule="auto"/>
        <w:jc w:val="both"/>
        <w:rPr>
          <w:rFonts w:ascii="Arial" w:eastAsia="Arial" w:hAnsi="Arial" w:cs="Arial"/>
        </w:rPr>
      </w:pPr>
      <w:r>
        <w:rPr>
          <w:rFonts w:ascii="Arial" w:eastAsia="Arial" w:hAnsi="Arial" w:cs="Arial"/>
        </w:rPr>
        <w:t>Dichos procedimientos deberán ser claros, accesibles, verificables y transparentes, garantizando trazabilidad y oportunidad en la atención de las solicitudes, conforme a los principios rectores establecidos en el presente Acuerdo.</w:t>
      </w:r>
    </w:p>
    <w:p w14:paraId="000000BB" w14:textId="77777777" w:rsidR="0036083F" w:rsidRDefault="0011228F">
      <w:pPr>
        <w:spacing w:before="280" w:after="280" w:line="240" w:lineRule="auto"/>
        <w:jc w:val="both"/>
        <w:rPr>
          <w:rFonts w:ascii="Arial" w:eastAsia="Arial" w:hAnsi="Arial" w:cs="Arial"/>
        </w:rPr>
      </w:pPr>
      <w:r>
        <w:rPr>
          <w:rFonts w:ascii="Arial" w:eastAsia="Arial" w:hAnsi="Arial" w:cs="Arial"/>
          <w:b/>
          <w:bCs/>
        </w:rPr>
        <w:t xml:space="preserve">Artículo 22. Ajuste de nomenclatura. </w:t>
      </w:r>
      <w:r>
        <w:rPr>
          <w:rFonts w:ascii="Arial" w:eastAsia="Arial" w:hAnsi="Arial" w:cs="Arial"/>
        </w:rPr>
        <w:t>El ajuste de nomenclatura procederá cuando se identifiquen:</w:t>
      </w:r>
    </w:p>
    <w:p w14:paraId="000000BC" w14:textId="77777777" w:rsidR="0036083F" w:rsidRDefault="0011228F">
      <w:pPr>
        <w:numPr>
          <w:ilvl w:val="0"/>
          <w:numId w:val="5"/>
        </w:numPr>
        <w:spacing w:before="240" w:after="0" w:line="240" w:lineRule="auto"/>
        <w:jc w:val="both"/>
        <w:rPr>
          <w:rFonts w:ascii="Arial" w:eastAsia="Arial" w:hAnsi="Arial" w:cs="Arial"/>
        </w:rPr>
      </w:pPr>
      <w:r>
        <w:rPr>
          <w:rFonts w:ascii="Arial" w:eastAsia="Arial" w:hAnsi="Arial" w:cs="Arial"/>
        </w:rPr>
        <w:t>Inconsistencias en la numeración o denominación oficial.</w:t>
      </w:r>
    </w:p>
    <w:p w14:paraId="000000BD" w14:textId="0200DB1A" w:rsidR="0036083F" w:rsidRDefault="0011228F">
      <w:pPr>
        <w:numPr>
          <w:ilvl w:val="0"/>
          <w:numId w:val="5"/>
        </w:numPr>
        <w:spacing w:after="0" w:line="240" w:lineRule="auto"/>
        <w:jc w:val="both"/>
        <w:rPr>
          <w:rFonts w:ascii="Arial" w:eastAsia="Arial" w:hAnsi="Arial" w:cs="Arial"/>
        </w:rPr>
      </w:pPr>
      <w:r>
        <w:rPr>
          <w:rFonts w:ascii="Arial" w:eastAsia="Arial" w:hAnsi="Arial" w:cs="Arial"/>
        </w:rPr>
        <w:t>Duplicidades o ambigüedades en las direcciones existentes.</w:t>
      </w:r>
    </w:p>
    <w:p w14:paraId="000000BE" w14:textId="77777777" w:rsidR="0036083F" w:rsidRDefault="0011228F">
      <w:pPr>
        <w:numPr>
          <w:ilvl w:val="0"/>
          <w:numId w:val="5"/>
        </w:numPr>
        <w:spacing w:after="0" w:line="240" w:lineRule="auto"/>
        <w:jc w:val="both"/>
        <w:rPr>
          <w:rFonts w:ascii="Arial" w:eastAsia="Arial" w:hAnsi="Arial" w:cs="Arial"/>
        </w:rPr>
      </w:pPr>
      <w:r>
        <w:rPr>
          <w:rFonts w:ascii="Arial" w:eastAsia="Arial" w:hAnsi="Arial" w:cs="Arial"/>
        </w:rPr>
        <w:t>Cambios en la estructura o continuidad de la vía.</w:t>
      </w:r>
    </w:p>
    <w:p w14:paraId="000000BF" w14:textId="77777777" w:rsidR="0036083F" w:rsidRDefault="0011228F">
      <w:pPr>
        <w:numPr>
          <w:ilvl w:val="0"/>
          <w:numId w:val="5"/>
        </w:numPr>
        <w:spacing w:after="0" w:line="240" w:lineRule="auto"/>
        <w:jc w:val="both"/>
        <w:rPr>
          <w:rFonts w:ascii="Arial" w:eastAsia="Arial" w:hAnsi="Arial" w:cs="Arial"/>
        </w:rPr>
      </w:pPr>
      <w:r>
        <w:rPr>
          <w:rFonts w:ascii="Arial" w:eastAsia="Arial" w:hAnsi="Arial" w:cs="Arial"/>
        </w:rPr>
        <w:t>Modificaciones en el acceso principal o en la configuración del predio.</w:t>
      </w:r>
    </w:p>
    <w:p w14:paraId="000000C0" w14:textId="77777777" w:rsidR="0036083F" w:rsidRDefault="0011228F">
      <w:pPr>
        <w:numPr>
          <w:ilvl w:val="0"/>
          <w:numId w:val="5"/>
        </w:numPr>
        <w:spacing w:after="240" w:line="240" w:lineRule="auto"/>
        <w:jc w:val="both"/>
        <w:rPr>
          <w:rFonts w:ascii="Arial" w:eastAsia="Arial" w:hAnsi="Arial" w:cs="Arial"/>
        </w:rPr>
      </w:pPr>
      <w:r>
        <w:rPr>
          <w:rFonts w:ascii="Arial" w:eastAsia="Arial" w:hAnsi="Arial" w:cs="Arial"/>
        </w:rPr>
        <w:t>Actualizaciones técnicas o cartográficas debidamente sustentadas.</w:t>
      </w:r>
    </w:p>
    <w:p w14:paraId="000000C1" w14:textId="77777777" w:rsidR="0036083F" w:rsidRDefault="0011228F">
      <w:pPr>
        <w:spacing w:before="240" w:after="240" w:line="240" w:lineRule="auto"/>
        <w:jc w:val="both"/>
        <w:rPr>
          <w:rFonts w:ascii="Arial" w:eastAsia="Arial" w:hAnsi="Arial" w:cs="Arial"/>
        </w:rPr>
      </w:pPr>
      <w:r>
        <w:rPr>
          <w:rFonts w:ascii="Arial" w:eastAsia="Arial" w:hAnsi="Arial" w:cs="Arial"/>
        </w:rPr>
        <w:t>Todo ajuste deberá estar respaldado mediante acto administrativo motivado, previa verificación técnica y validación cartográfica por parte de la Secretaría de Planeación o dependencia delegada.</w:t>
      </w:r>
    </w:p>
    <w:p w14:paraId="000000C2" w14:textId="160C879F" w:rsidR="0036083F" w:rsidRDefault="00D357F8">
      <w:pPr>
        <w:spacing w:before="280" w:after="280" w:line="240" w:lineRule="auto"/>
        <w:jc w:val="both"/>
        <w:rPr>
          <w:rFonts w:ascii="Arial" w:eastAsia="Arial" w:hAnsi="Arial" w:cs="Arial"/>
        </w:rPr>
      </w:pPr>
      <w:r w:rsidRPr="00D357F8">
        <w:rPr>
          <w:rFonts w:ascii="Arial" w:eastAsia="Arial" w:hAnsi="Arial" w:cs="Arial"/>
          <w:b/>
          <w:bCs/>
        </w:rPr>
        <w:t>Artículo 23. Certificación de nomenclatura.</w:t>
      </w:r>
      <w:r>
        <w:rPr>
          <w:rFonts w:ascii="Arial" w:eastAsia="Arial" w:hAnsi="Arial" w:cs="Arial"/>
        </w:rPr>
        <w:t xml:space="preserve"> La certificación de nomenclatura es el acto mediante el cual la administración municipal valida oficialmente la dirección asignada a un predio, con base en el modelo técnico y el registro oficial de nomenclatura.</w:t>
      </w:r>
    </w:p>
    <w:p w14:paraId="000000C3" w14:textId="77777777" w:rsidR="0036083F" w:rsidRDefault="0011228F">
      <w:pPr>
        <w:spacing w:before="280" w:after="280" w:line="240" w:lineRule="auto"/>
        <w:jc w:val="both"/>
        <w:rPr>
          <w:rFonts w:ascii="Arial" w:eastAsia="Arial" w:hAnsi="Arial" w:cs="Arial"/>
        </w:rPr>
      </w:pPr>
      <w:r>
        <w:rPr>
          <w:rFonts w:ascii="Arial" w:eastAsia="Arial" w:hAnsi="Arial" w:cs="Arial"/>
        </w:rPr>
        <w:lastRenderedPageBreak/>
        <w:t>Podrán solicitar esta certificación los propietarios, poseedores, residentes, entidades públicas o privadas, y será expedida por la Secretaría de Planeación o dependencia delegada, conforme al procedimiento establecido.</w:t>
      </w:r>
    </w:p>
    <w:p w14:paraId="000000C4" w14:textId="79BB9B27" w:rsidR="0036083F" w:rsidRDefault="00D357F8">
      <w:pPr>
        <w:spacing w:before="280" w:after="280" w:line="240" w:lineRule="auto"/>
        <w:jc w:val="both"/>
        <w:rPr>
          <w:rFonts w:ascii="Arial" w:eastAsia="Arial" w:hAnsi="Arial" w:cs="Arial"/>
        </w:rPr>
      </w:pPr>
      <w:r w:rsidRPr="00D357F8">
        <w:rPr>
          <w:rFonts w:ascii="Arial" w:eastAsia="Arial" w:hAnsi="Arial" w:cs="Arial"/>
          <w:b/>
          <w:bCs/>
        </w:rPr>
        <w:t>Artículo 24. Registro oficial</w:t>
      </w:r>
      <w:r>
        <w:rPr>
          <w:rFonts w:ascii="Arial" w:eastAsia="Arial" w:hAnsi="Arial" w:cs="Arial"/>
        </w:rPr>
        <w:t>. Toda asignación, ajuste o certificación deberá ser registrada en el sistema oficial de nomenclatura del municipio, el cual deberá:</w:t>
      </w:r>
    </w:p>
    <w:p w14:paraId="000000C5" w14:textId="77777777" w:rsidR="0036083F" w:rsidRDefault="0011228F">
      <w:pPr>
        <w:numPr>
          <w:ilvl w:val="0"/>
          <w:numId w:val="6"/>
        </w:numPr>
        <w:spacing w:before="280" w:after="0" w:line="240" w:lineRule="auto"/>
        <w:jc w:val="both"/>
        <w:rPr>
          <w:rFonts w:ascii="Arial" w:eastAsia="Arial" w:hAnsi="Arial" w:cs="Arial"/>
        </w:rPr>
      </w:pPr>
      <w:r>
        <w:rPr>
          <w:rFonts w:ascii="Arial" w:eastAsia="Arial" w:hAnsi="Arial" w:cs="Arial"/>
        </w:rPr>
        <w:t xml:space="preserve">Contar con soporte cartográfico </w:t>
      </w:r>
    </w:p>
    <w:p w14:paraId="000000C6" w14:textId="77777777" w:rsidR="0036083F" w:rsidRDefault="0011228F">
      <w:pPr>
        <w:numPr>
          <w:ilvl w:val="0"/>
          <w:numId w:val="6"/>
        </w:numPr>
        <w:spacing w:after="0" w:line="240" w:lineRule="auto"/>
        <w:jc w:val="both"/>
        <w:rPr>
          <w:rFonts w:ascii="Arial" w:eastAsia="Arial" w:hAnsi="Arial" w:cs="Arial"/>
        </w:rPr>
      </w:pPr>
      <w:r>
        <w:rPr>
          <w:rFonts w:ascii="Arial" w:eastAsia="Arial" w:hAnsi="Arial" w:cs="Arial"/>
        </w:rPr>
        <w:t>Mantener trazabilidad documental y técnica verificable.</w:t>
      </w:r>
    </w:p>
    <w:p w14:paraId="000000C7" w14:textId="77777777" w:rsidR="0036083F" w:rsidRDefault="0011228F">
      <w:pPr>
        <w:numPr>
          <w:ilvl w:val="0"/>
          <w:numId w:val="6"/>
        </w:numPr>
        <w:spacing w:after="280" w:line="240" w:lineRule="auto"/>
        <w:jc w:val="both"/>
        <w:rPr>
          <w:rFonts w:ascii="Arial" w:eastAsia="Arial" w:hAnsi="Arial" w:cs="Arial"/>
        </w:rPr>
      </w:pPr>
      <w:r>
        <w:rPr>
          <w:rFonts w:ascii="Arial" w:eastAsia="Arial" w:hAnsi="Arial" w:cs="Arial"/>
        </w:rPr>
        <w:t>Permitir la consulta institucional y ciudadana de la información.</w:t>
      </w:r>
    </w:p>
    <w:p w14:paraId="000000C8" w14:textId="77777777" w:rsidR="0036083F" w:rsidRDefault="0011228F">
      <w:pPr>
        <w:spacing w:before="280" w:after="280" w:line="240" w:lineRule="auto"/>
        <w:jc w:val="center"/>
        <w:rPr>
          <w:rFonts w:ascii="Arial" w:eastAsia="Arial" w:hAnsi="Arial" w:cs="Arial"/>
          <w:b/>
          <w:bCs/>
        </w:rPr>
      </w:pPr>
      <w:r>
        <w:rPr>
          <w:rFonts w:ascii="Arial" w:eastAsia="Arial" w:hAnsi="Arial" w:cs="Arial"/>
          <w:b/>
          <w:bCs/>
        </w:rPr>
        <w:t>CAPÍTULO VII – MATERIALIZACIÓN EN CAMPO</w:t>
      </w:r>
    </w:p>
    <w:p w14:paraId="000000CA" w14:textId="6C48035A" w:rsidR="0036083F" w:rsidRDefault="0011228F">
      <w:pPr>
        <w:spacing w:before="280" w:after="280" w:line="240" w:lineRule="auto"/>
        <w:jc w:val="both"/>
        <w:rPr>
          <w:rFonts w:ascii="Arial" w:eastAsia="Arial" w:hAnsi="Arial" w:cs="Arial"/>
        </w:rPr>
      </w:pPr>
      <w:r>
        <w:rPr>
          <w:rFonts w:ascii="Arial" w:eastAsia="Arial" w:hAnsi="Arial" w:cs="Arial"/>
        </w:rPr>
        <w:br/>
      </w:r>
      <w:r w:rsidR="00D357F8" w:rsidRPr="00D357F8">
        <w:rPr>
          <w:rFonts w:ascii="Arial" w:eastAsia="Arial" w:hAnsi="Arial" w:cs="Arial"/>
          <w:b/>
          <w:bCs/>
        </w:rPr>
        <w:t>Artículo 25. Elementos físicos de identificación.</w:t>
      </w:r>
      <w:r w:rsidR="00D357F8">
        <w:rPr>
          <w:rFonts w:ascii="Arial" w:eastAsia="Arial" w:hAnsi="Arial" w:cs="Arial"/>
        </w:rPr>
        <w:t xml:space="preserve"> </w:t>
      </w:r>
      <w:r>
        <w:rPr>
          <w:rFonts w:ascii="Arial" w:eastAsia="Arial" w:hAnsi="Arial" w:cs="Arial"/>
        </w:rPr>
        <w:t>La administración municipal, en el marco de sus competencias y capacidades, deberá identificar los medios, mecanismos y recursos que le permitan adelantar de manera progresiva las tareas de instalación, reposición y mantenimiento de los elementos físicos de identificación vial y domiciliaria, conforme al modelo técnico adoptado.</w:t>
      </w:r>
      <w:r w:rsidR="00D673CD">
        <w:rPr>
          <w:rFonts w:ascii="Arial" w:eastAsia="Arial" w:hAnsi="Arial" w:cs="Arial"/>
        </w:rPr>
        <w:t xml:space="preserve"> </w:t>
      </w:r>
      <w:r>
        <w:rPr>
          <w:rFonts w:ascii="Arial" w:eastAsia="Arial" w:hAnsi="Arial" w:cs="Arial"/>
        </w:rPr>
        <w:t>Estos elementos incluyen, entre otros:</w:t>
      </w:r>
    </w:p>
    <w:p w14:paraId="000000CB" w14:textId="2F8F4025" w:rsidR="0036083F" w:rsidRDefault="0011228F">
      <w:pPr>
        <w:numPr>
          <w:ilvl w:val="0"/>
          <w:numId w:val="14"/>
        </w:numPr>
        <w:spacing w:before="280" w:after="0" w:line="240" w:lineRule="auto"/>
        <w:jc w:val="both"/>
        <w:rPr>
          <w:rFonts w:ascii="Arial" w:eastAsia="Arial" w:hAnsi="Arial" w:cs="Arial"/>
        </w:rPr>
      </w:pPr>
      <w:r>
        <w:rPr>
          <w:rFonts w:ascii="Arial" w:eastAsia="Arial" w:hAnsi="Arial" w:cs="Arial"/>
        </w:rPr>
        <w:t>Placas viales: ubicadas en esquinas de manzanas, indicando el nombre</w:t>
      </w:r>
      <w:r w:rsidR="006843B9">
        <w:rPr>
          <w:rFonts w:ascii="Arial" w:eastAsia="Arial" w:hAnsi="Arial" w:cs="Arial"/>
        </w:rPr>
        <w:t xml:space="preserve"> y/</w:t>
      </w:r>
      <w:r>
        <w:rPr>
          <w:rFonts w:ascii="Arial" w:eastAsia="Arial" w:hAnsi="Arial" w:cs="Arial"/>
        </w:rPr>
        <w:t>o número de la vía.</w:t>
      </w:r>
    </w:p>
    <w:p w14:paraId="000000CC" w14:textId="77777777" w:rsidR="0036083F" w:rsidRDefault="0011228F">
      <w:pPr>
        <w:numPr>
          <w:ilvl w:val="0"/>
          <w:numId w:val="14"/>
        </w:numPr>
        <w:spacing w:after="0" w:line="240" w:lineRule="auto"/>
        <w:jc w:val="both"/>
        <w:rPr>
          <w:rFonts w:ascii="Arial" w:eastAsia="Arial" w:hAnsi="Arial" w:cs="Arial"/>
        </w:rPr>
      </w:pPr>
      <w:r>
        <w:rPr>
          <w:rFonts w:ascii="Arial" w:eastAsia="Arial" w:hAnsi="Arial" w:cs="Arial"/>
        </w:rPr>
        <w:t>Placas domiciliarias: ubicadas en el acceso principal del predio, indicando la nomenclatura oficial.</w:t>
      </w:r>
    </w:p>
    <w:p w14:paraId="000000CD" w14:textId="77777777" w:rsidR="0036083F" w:rsidRDefault="0011228F">
      <w:pPr>
        <w:numPr>
          <w:ilvl w:val="0"/>
          <w:numId w:val="14"/>
        </w:numPr>
        <w:spacing w:after="280" w:line="240" w:lineRule="auto"/>
        <w:jc w:val="both"/>
        <w:rPr>
          <w:rFonts w:ascii="Arial" w:eastAsia="Arial" w:hAnsi="Arial" w:cs="Arial"/>
        </w:rPr>
      </w:pPr>
      <w:r>
        <w:rPr>
          <w:rFonts w:ascii="Arial" w:eastAsia="Arial" w:hAnsi="Arial" w:cs="Arial"/>
        </w:rPr>
        <w:t>Señalética complementaria: definida por la administración según condiciones técnicas, urbanas y comunitarias.</w:t>
      </w:r>
    </w:p>
    <w:p w14:paraId="000000CE" w14:textId="77777777" w:rsidR="0036083F" w:rsidRDefault="0011228F">
      <w:pPr>
        <w:spacing w:before="280" w:after="280" w:line="240" w:lineRule="auto"/>
        <w:jc w:val="both"/>
        <w:rPr>
          <w:rFonts w:ascii="Arial" w:eastAsia="Arial" w:hAnsi="Arial" w:cs="Arial"/>
        </w:rPr>
      </w:pPr>
      <w:r>
        <w:rPr>
          <w:rFonts w:ascii="Arial" w:eastAsia="Arial" w:hAnsi="Arial" w:cs="Arial"/>
        </w:rPr>
        <w:t>La implementación se realizará de acuerdo con las necesidades, prioridades y disponibilidad presupuestal del municipio, procurando su articulación con procesos de urbanismo, gestión catastral, prestación de servicios públicos y participación ciudadana.</w:t>
      </w:r>
    </w:p>
    <w:p w14:paraId="000000CF" w14:textId="42B7E1D8" w:rsidR="0036083F" w:rsidRDefault="00D357F8">
      <w:pPr>
        <w:spacing w:before="280" w:after="280" w:line="240" w:lineRule="auto"/>
        <w:jc w:val="both"/>
        <w:rPr>
          <w:rFonts w:ascii="Arial" w:eastAsia="Arial" w:hAnsi="Arial" w:cs="Arial"/>
        </w:rPr>
      </w:pPr>
      <w:r w:rsidRPr="00D357F8">
        <w:rPr>
          <w:rFonts w:ascii="Arial" w:eastAsia="Arial" w:hAnsi="Arial" w:cs="Arial"/>
          <w:b/>
          <w:bCs/>
        </w:rPr>
        <w:t>Artículo 26. Diseño y estándares.</w:t>
      </w:r>
      <w:r>
        <w:rPr>
          <w:rFonts w:ascii="Arial" w:eastAsia="Arial" w:hAnsi="Arial" w:cs="Arial"/>
        </w:rPr>
        <w:t xml:space="preserve"> </w:t>
      </w:r>
      <w:r w:rsidR="00775C8A">
        <w:rPr>
          <w:rFonts w:ascii="Arial" w:eastAsia="Arial" w:hAnsi="Arial" w:cs="Arial"/>
        </w:rPr>
        <w:t>(</w:t>
      </w:r>
      <w:r w:rsidRPr="00775C8A">
        <w:rPr>
          <w:rFonts w:ascii="Arial" w:eastAsia="Arial" w:hAnsi="Arial" w:cs="Arial"/>
          <w:b/>
          <w:bCs/>
          <w:i/>
          <w:iCs/>
        </w:rPr>
        <w:t>La Secretaría de Planeación municipal o la dependencia que el municipio</w:t>
      </w:r>
      <w:r>
        <w:rPr>
          <w:rFonts w:ascii="Arial" w:eastAsia="Arial" w:hAnsi="Arial" w:cs="Arial"/>
        </w:rPr>
        <w:t xml:space="preserve"> </w:t>
      </w:r>
      <w:r w:rsidRPr="00775C8A">
        <w:rPr>
          <w:rFonts w:ascii="Arial" w:eastAsia="Arial" w:hAnsi="Arial" w:cs="Arial"/>
          <w:b/>
          <w:bCs/>
          <w:i/>
          <w:iCs/>
        </w:rPr>
        <w:t>delegue</w:t>
      </w:r>
      <w:r w:rsidR="00775C8A">
        <w:rPr>
          <w:rFonts w:ascii="Arial" w:eastAsia="Arial" w:hAnsi="Arial" w:cs="Arial"/>
        </w:rPr>
        <w:t>)</w:t>
      </w:r>
      <w:r>
        <w:rPr>
          <w:rFonts w:ascii="Arial" w:eastAsia="Arial" w:hAnsi="Arial" w:cs="Arial"/>
        </w:rPr>
        <w:t xml:space="preserve"> establecerá los diseños, materiales, dimensiones, colores y demás especificaciones técnicas de los elementos físicos de identificación vial y domiciliaria, garantizando su legibilidad, durabilidad y coherencia con la imagen institucional del municipio.</w:t>
      </w:r>
    </w:p>
    <w:p w14:paraId="000000D0" w14:textId="2642F271" w:rsidR="0036083F" w:rsidRDefault="0011228F">
      <w:pPr>
        <w:spacing w:before="280" w:after="280" w:line="240" w:lineRule="auto"/>
        <w:jc w:val="both"/>
        <w:rPr>
          <w:rFonts w:ascii="Arial" w:eastAsia="Arial" w:hAnsi="Arial" w:cs="Arial"/>
        </w:rPr>
      </w:pPr>
      <w:r>
        <w:rPr>
          <w:rFonts w:ascii="Arial" w:eastAsia="Arial" w:hAnsi="Arial" w:cs="Arial"/>
        </w:rPr>
        <w:t xml:space="preserve">Estas especificaciones deberán observar los estándares técnicos nacionales e internacionales aplicables en materia de señalización urbana, visibilidad, accesibilidad y seguridad vial, de modo que faciliten su reconocimiento </w:t>
      </w:r>
      <w:r w:rsidR="00D357F8">
        <w:rPr>
          <w:rFonts w:ascii="Arial" w:eastAsia="Arial" w:hAnsi="Arial" w:cs="Arial"/>
        </w:rPr>
        <w:t>ciudadano y</w:t>
      </w:r>
      <w:r>
        <w:rPr>
          <w:rFonts w:ascii="Arial" w:eastAsia="Arial" w:hAnsi="Arial" w:cs="Arial"/>
        </w:rPr>
        <w:t xml:space="preserve"> su integración con otros sistemas de información territorial.</w:t>
      </w:r>
    </w:p>
    <w:p w14:paraId="000000D2" w14:textId="02EBD206" w:rsidR="0036083F" w:rsidRDefault="0011228F">
      <w:pPr>
        <w:spacing w:before="280" w:after="280" w:line="240" w:lineRule="auto"/>
        <w:jc w:val="both"/>
        <w:rPr>
          <w:rFonts w:ascii="Arial" w:eastAsia="Arial" w:hAnsi="Arial" w:cs="Arial"/>
        </w:rPr>
      </w:pPr>
      <w:r>
        <w:rPr>
          <w:rFonts w:ascii="Arial" w:eastAsia="Arial" w:hAnsi="Arial" w:cs="Arial"/>
          <w:b/>
          <w:bCs/>
        </w:rPr>
        <w:t>Artículo 27. Instalación y mantenimiento.</w:t>
      </w:r>
      <w:r w:rsidR="00D673CD">
        <w:rPr>
          <w:rFonts w:ascii="Arial" w:eastAsia="Arial" w:hAnsi="Arial" w:cs="Arial"/>
          <w:b/>
          <w:bCs/>
        </w:rPr>
        <w:t xml:space="preserve"> </w:t>
      </w:r>
      <w:r>
        <w:rPr>
          <w:rFonts w:ascii="Arial" w:eastAsia="Arial" w:hAnsi="Arial" w:cs="Arial"/>
        </w:rPr>
        <w:t xml:space="preserve">La instalación de placas viales y domiciliarias podrá realizarse directamente por el municipio, mediante ejecución </w:t>
      </w:r>
      <w:r>
        <w:rPr>
          <w:rFonts w:ascii="Arial" w:eastAsia="Arial" w:hAnsi="Arial" w:cs="Arial"/>
        </w:rPr>
        <w:lastRenderedPageBreak/>
        <w:t>propia, contratación o a través de esquemas de gestión comunitaria avalados y acompañados por la administración municipal.</w:t>
      </w:r>
    </w:p>
    <w:p w14:paraId="000000D3" w14:textId="77777777" w:rsidR="0036083F" w:rsidRDefault="0011228F">
      <w:pPr>
        <w:spacing w:before="280" w:after="280" w:line="240" w:lineRule="auto"/>
        <w:jc w:val="both"/>
        <w:rPr>
          <w:rFonts w:ascii="Arial" w:eastAsia="Arial" w:hAnsi="Arial" w:cs="Arial"/>
        </w:rPr>
      </w:pPr>
      <w:r>
        <w:rPr>
          <w:rFonts w:ascii="Arial" w:eastAsia="Arial" w:hAnsi="Arial" w:cs="Arial"/>
        </w:rPr>
        <w:t>El mantenimiento, reposición y conservación de estos elementos será una responsabilidad compartida entre el municipio y los propietarios, poseedores o residentes de los predios, conforme a lo que se establezca en la reglamentación complementaria, y atendiendo a criterios de corresponsabilidad, sostenibilidad y cuidado del espacio público.</w:t>
      </w:r>
    </w:p>
    <w:p w14:paraId="58BC9C9D" w14:textId="459D351F" w:rsidR="005504B0" w:rsidRDefault="005504B0">
      <w:pPr>
        <w:spacing w:before="280" w:after="280" w:line="240" w:lineRule="auto"/>
        <w:jc w:val="both"/>
        <w:rPr>
          <w:rFonts w:ascii="Arial" w:eastAsia="Arial" w:hAnsi="Arial" w:cs="Arial"/>
        </w:rPr>
      </w:pPr>
      <w:r w:rsidRPr="005504B0">
        <w:rPr>
          <w:rFonts w:ascii="Arial" w:eastAsia="Arial" w:hAnsi="Arial" w:cs="Arial"/>
        </w:rPr>
        <w:t xml:space="preserve">A las placas no oficiales </w:t>
      </w:r>
      <w:r>
        <w:rPr>
          <w:rFonts w:ascii="Arial" w:eastAsia="Arial" w:hAnsi="Arial" w:cs="Arial"/>
        </w:rPr>
        <w:t xml:space="preserve">o que perdieron vigencia </w:t>
      </w:r>
      <w:r w:rsidRPr="005504B0">
        <w:rPr>
          <w:rFonts w:ascii="Arial" w:eastAsia="Arial" w:hAnsi="Arial" w:cs="Arial"/>
        </w:rPr>
        <w:t xml:space="preserve">se les cruzará una línea roja para indicar su cancelación por el término de seis (6) meses, </w:t>
      </w:r>
      <w:r>
        <w:rPr>
          <w:rFonts w:ascii="Arial" w:eastAsia="Arial" w:hAnsi="Arial" w:cs="Arial"/>
        </w:rPr>
        <w:t xml:space="preserve">las cuales una vez </w:t>
      </w:r>
      <w:r w:rsidRPr="005504B0">
        <w:rPr>
          <w:rFonts w:ascii="Arial" w:eastAsia="Arial" w:hAnsi="Arial" w:cs="Arial"/>
        </w:rPr>
        <w:t>vencidos deberán ser retiradas por el propietario o poseedor del inmueble.</w:t>
      </w:r>
    </w:p>
    <w:p w14:paraId="000000D4" w14:textId="3B0BBED4" w:rsidR="0036083F" w:rsidRDefault="00D357F8">
      <w:pPr>
        <w:spacing w:before="280" w:after="280" w:line="240" w:lineRule="auto"/>
        <w:jc w:val="both"/>
        <w:rPr>
          <w:rFonts w:ascii="Arial" w:eastAsia="Arial" w:hAnsi="Arial" w:cs="Arial"/>
        </w:rPr>
      </w:pPr>
      <w:r w:rsidRPr="00D357F8">
        <w:rPr>
          <w:rFonts w:ascii="Arial" w:eastAsia="Arial" w:hAnsi="Arial" w:cs="Arial"/>
          <w:b/>
          <w:bCs/>
        </w:rPr>
        <w:t>Artículo 28. Verificación en campo.</w:t>
      </w:r>
      <w:r w:rsidR="00D673CD">
        <w:rPr>
          <w:rFonts w:ascii="Arial" w:eastAsia="Arial" w:hAnsi="Arial" w:cs="Arial"/>
          <w:b/>
          <w:bCs/>
        </w:rPr>
        <w:t xml:space="preserve"> </w:t>
      </w:r>
      <w:r w:rsidR="0011228F">
        <w:rPr>
          <w:rFonts w:ascii="Arial" w:eastAsia="Arial" w:hAnsi="Arial" w:cs="Arial"/>
        </w:rPr>
        <w:t>La administración municipal podrá realizar visitas técnicas para verificar la correcta ubicación, instalación y estado de los elementos físicos de identificación.</w:t>
      </w:r>
    </w:p>
    <w:p w14:paraId="000000D5" w14:textId="77777777" w:rsidR="0036083F" w:rsidRDefault="0011228F">
      <w:pPr>
        <w:spacing w:before="280" w:after="280" w:line="240" w:lineRule="auto"/>
        <w:jc w:val="both"/>
        <w:rPr>
          <w:rFonts w:ascii="Arial" w:eastAsia="Arial" w:hAnsi="Arial" w:cs="Arial"/>
        </w:rPr>
      </w:pPr>
      <w:r>
        <w:rPr>
          <w:rFonts w:ascii="Arial" w:eastAsia="Arial" w:hAnsi="Arial" w:cs="Arial"/>
        </w:rPr>
        <w:t>De encontrarse inconsistencias o deterioros, se adoptarán las medidas necesarias para su ajuste, reposición o actualización, garantizando la permanencia y legibilidad de la nomenclatura oficial.</w:t>
      </w:r>
    </w:p>
    <w:p w14:paraId="000000D7" w14:textId="77777777" w:rsidR="0036083F" w:rsidRDefault="0036083F">
      <w:pPr>
        <w:spacing w:after="0" w:line="240" w:lineRule="auto"/>
        <w:rPr>
          <w:rFonts w:ascii="Arial" w:eastAsia="Arial" w:hAnsi="Arial" w:cs="Arial"/>
        </w:rPr>
      </w:pPr>
    </w:p>
    <w:p w14:paraId="000000D8" w14:textId="77777777" w:rsidR="0036083F" w:rsidRDefault="0011228F">
      <w:pPr>
        <w:jc w:val="center"/>
        <w:rPr>
          <w:rFonts w:ascii="Arial" w:eastAsia="Arial" w:hAnsi="Arial" w:cs="Arial"/>
          <w:b/>
          <w:bCs/>
        </w:rPr>
      </w:pPr>
      <w:r>
        <w:rPr>
          <w:rFonts w:ascii="Arial" w:eastAsia="Arial" w:hAnsi="Arial" w:cs="Arial"/>
          <w:b/>
          <w:bCs/>
        </w:rPr>
        <w:t>CAPÍTULO VIII – DISPOSICIÓN PÚBLICA DE LA INFORMACIÓN</w:t>
      </w:r>
    </w:p>
    <w:p w14:paraId="79C25A53" w14:textId="77777777" w:rsidR="00D673CD" w:rsidRDefault="00D673CD" w:rsidP="00D673CD">
      <w:pPr>
        <w:jc w:val="both"/>
        <w:rPr>
          <w:rFonts w:ascii="Arial" w:eastAsia="Arial" w:hAnsi="Arial" w:cs="Arial"/>
          <w:b/>
          <w:bCs/>
        </w:rPr>
      </w:pPr>
    </w:p>
    <w:p w14:paraId="000000DA" w14:textId="68B42A0A" w:rsidR="0036083F" w:rsidRDefault="0011228F" w:rsidP="00D673CD">
      <w:pPr>
        <w:jc w:val="both"/>
        <w:rPr>
          <w:rFonts w:ascii="Arial" w:eastAsia="Arial" w:hAnsi="Arial" w:cs="Arial"/>
        </w:rPr>
      </w:pPr>
      <w:r>
        <w:rPr>
          <w:rFonts w:ascii="Arial" w:eastAsia="Arial" w:hAnsi="Arial" w:cs="Arial"/>
          <w:b/>
          <w:bCs/>
        </w:rPr>
        <w:t>Artículo 29. Acceso ciudadano.</w:t>
      </w:r>
      <w:r w:rsidR="00D673CD">
        <w:rPr>
          <w:rFonts w:ascii="Arial" w:eastAsia="Arial" w:hAnsi="Arial" w:cs="Arial"/>
          <w:b/>
          <w:bCs/>
        </w:rPr>
        <w:t xml:space="preserve"> </w:t>
      </w:r>
      <w:r>
        <w:rPr>
          <w:rFonts w:ascii="Arial" w:eastAsia="Arial" w:hAnsi="Arial" w:cs="Arial"/>
        </w:rPr>
        <w:t>La administración municipal deberá establecer y mantener mecanismos digitales y físicos que permitan a la ciudadanía consultar la nomenclatura vial y domiciliaria oficial, incluyendo mapas, planos, certificados y demás elementos que faciliten la identificación de vías y predios.</w:t>
      </w:r>
      <w:r w:rsidR="00D673CD">
        <w:rPr>
          <w:rFonts w:ascii="Arial" w:eastAsia="Arial" w:hAnsi="Arial" w:cs="Arial"/>
        </w:rPr>
        <w:t xml:space="preserve"> </w:t>
      </w:r>
      <w:r>
        <w:rPr>
          <w:rFonts w:ascii="Arial" w:eastAsia="Arial" w:hAnsi="Arial" w:cs="Arial"/>
        </w:rPr>
        <w:t xml:space="preserve">Estos mecanismos deberán ser accesibles, gratuitos y actualizados, y podrán incluir: </w:t>
      </w:r>
    </w:p>
    <w:p w14:paraId="000000DB" w14:textId="75E2211A" w:rsidR="0036083F" w:rsidRDefault="0011228F">
      <w:pPr>
        <w:numPr>
          <w:ilvl w:val="0"/>
          <w:numId w:val="1"/>
        </w:numPr>
        <w:spacing w:after="0"/>
        <w:rPr>
          <w:rFonts w:ascii="Arial" w:eastAsia="Arial" w:hAnsi="Arial" w:cs="Arial"/>
        </w:rPr>
      </w:pPr>
      <w:r>
        <w:rPr>
          <w:rFonts w:ascii="Arial" w:eastAsia="Arial" w:hAnsi="Arial" w:cs="Arial"/>
        </w:rPr>
        <w:t>Plataformas web institucionales.</w:t>
      </w:r>
    </w:p>
    <w:p w14:paraId="000000DC" w14:textId="77777777" w:rsidR="0036083F" w:rsidRDefault="0011228F">
      <w:pPr>
        <w:numPr>
          <w:ilvl w:val="0"/>
          <w:numId w:val="1"/>
        </w:numPr>
        <w:spacing w:after="0"/>
        <w:rPr>
          <w:rFonts w:ascii="Arial" w:eastAsia="Arial" w:hAnsi="Arial" w:cs="Arial"/>
        </w:rPr>
      </w:pPr>
      <w:r>
        <w:rPr>
          <w:rFonts w:ascii="Arial" w:eastAsia="Arial" w:hAnsi="Arial" w:cs="Arial"/>
        </w:rPr>
        <w:t>Ventanillas de atención física.</w:t>
      </w:r>
    </w:p>
    <w:p w14:paraId="000000DD" w14:textId="7F1CC62C" w:rsidR="0036083F" w:rsidRDefault="0011228F">
      <w:pPr>
        <w:numPr>
          <w:ilvl w:val="0"/>
          <w:numId w:val="1"/>
        </w:numPr>
        <w:spacing w:after="0"/>
        <w:rPr>
          <w:rFonts w:ascii="Arial" w:eastAsia="Arial" w:hAnsi="Arial" w:cs="Arial"/>
        </w:rPr>
      </w:pPr>
      <w:r>
        <w:rPr>
          <w:rFonts w:ascii="Arial" w:eastAsia="Arial" w:hAnsi="Arial" w:cs="Arial"/>
        </w:rPr>
        <w:t>Aplicativos móviles o visores cartográficos.</w:t>
      </w:r>
    </w:p>
    <w:p w14:paraId="000000DE" w14:textId="0DEB9420" w:rsidR="0036083F" w:rsidRDefault="0011228F">
      <w:pPr>
        <w:numPr>
          <w:ilvl w:val="0"/>
          <w:numId w:val="1"/>
        </w:numPr>
        <w:rPr>
          <w:rFonts w:ascii="Arial" w:eastAsia="Arial" w:hAnsi="Arial" w:cs="Arial"/>
        </w:rPr>
      </w:pPr>
      <w:r>
        <w:rPr>
          <w:rFonts w:ascii="Arial" w:eastAsia="Arial" w:hAnsi="Arial" w:cs="Arial"/>
        </w:rPr>
        <w:t xml:space="preserve">Mapas </w:t>
      </w:r>
      <w:r w:rsidR="00D357F8">
        <w:rPr>
          <w:rFonts w:ascii="Arial" w:eastAsia="Arial" w:hAnsi="Arial" w:cs="Arial"/>
        </w:rPr>
        <w:t>impresos y</w:t>
      </w:r>
      <w:r>
        <w:rPr>
          <w:rFonts w:ascii="Arial" w:eastAsia="Arial" w:hAnsi="Arial" w:cs="Arial"/>
        </w:rPr>
        <w:t xml:space="preserve"> otros medios definidos por el municipio de acuerdo con sus capacidades técnicas, operativas y de recursos. </w:t>
      </w:r>
    </w:p>
    <w:p w14:paraId="000000DF" w14:textId="77777777" w:rsidR="0036083F" w:rsidRDefault="0011228F">
      <w:pPr>
        <w:rPr>
          <w:rFonts w:ascii="Arial" w:eastAsia="Arial" w:hAnsi="Arial" w:cs="Arial"/>
        </w:rPr>
      </w:pPr>
      <w:r>
        <w:rPr>
          <w:rFonts w:ascii="Arial" w:eastAsia="Arial" w:hAnsi="Arial" w:cs="Arial"/>
        </w:rPr>
        <w:t>En todo caso, el municipio deberá garantizar el acceso público a la información oficial de nomenclatura, promoviendo su disponibilidad, comprensión y uso por parte de la ciudadanía.</w:t>
      </w:r>
    </w:p>
    <w:p w14:paraId="000000E1" w14:textId="62BDB95E" w:rsidR="0036083F" w:rsidRDefault="0011228F">
      <w:pPr>
        <w:jc w:val="both"/>
        <w:rPr>
          <w:rFonts w:ascii="Arial" w:eastAsia="Arial" w:hAnsi="Arial" w:cs="Arial"/>
        </w:rPr>
      </w:pPr>
      <w:r w:rsidRPr="00D673CD">
        <w:rPr>
          <w:rFonts w:ascii="Arial" w:eastAsia="Arial" w:hAnsi="Arial" w:cs="Arial"/>
          <w:b/>
          <w:bCs/>
        </w:rPr>
        <w:br/>
      </w:r>
      <w:r w:rsidR="00D357F8" w:rsidRPr="00D673CD">
        <w:rPr>
          <w:rFonts w:ascii="Arial" w:eastAsia="Arial" w:hAnsi="Arial" w:cs="Arial"/>
          <w:b/>
          <w:bCs/>
        </w:rPr>
        <w:t>Artículo 30. Interoperabilidad institucional.</w:t>
      </w:r>
      <w:r w:rsidR="00D357F8">
        <w:rPr>
          <w:rFonts w:ascii="Arial" w:eastAsia="Arial" w:hAnsi="Arial" w:cs="Arial"/>
        </w:rPr>
        <w:t xml:space="preserve"> </w:t>
      </w:r>
      <w:r>
        <w:rPr>
          <w:rFonts w:ascii="Arial" w:eastAsia="Arial" w:hAnsi="Arial" w:cs="Arial"/>
        </w:rPr>
        <w:t xml:space="preserve">La información oficial de nomenclatura deberá estar disponible para entidades públicas y privadas que la requieran para el desarrollo de sus funciones, la gestión catastral, la planeación </w:t>
      </w:r>
      <w:r>
        <w:rPr>
          <w:rFonts w:ascii="Arial" w:eastAsia="Arial" w:hAnsi="Arial" w:cs="Arial"/>
        </w:rPr>
        <w:lastRenderedPageBreak/>
        <w:t>urbana, el ordenamiento territorial, la atención de emergencias y otros fines institucionales.</w:t>
      </w:r>
    </w:p>
    <w:p w14:paraId="000000E2" w14:textId="77777777" w:rsidR="0036083F" w:rsidRDefault="0011228F">
      <w:pPr>
        <w:jc w:val="both"/>
        <w:rPr>
          <w:rFonts w:ascii="Arial" w:eastAsia="Arial" w:hAnsi="Arial" w:cs="Arial"/>
        </w:rPr>
      </w:pPr>
      <w:r>
        <w:rPr>
          <w:rFonts w:ascii="Arial" w:eastAsia="Arial" w:hAnsi="Arial" w:cs="Arial"/>
        </w:rPr>
        <w:t>La administración municipal podrá establecer convenios, protocolos o servicios de interoperabilidad que faciliten el acceso, uso y actualización de la información por parte de terceros autorizados.</w:t>
      </w:r>
    </w:p>
    <w:p w14:paraId="000000E3" w14:textId="1481FE41" w:rsidR="0036083F" w:rsidRDefault="0011228F">
      <w:pPr>
        <w:jc w:val="both"/>
        <w:rPr>
          <w:rFonts w:ascii="Arial" w:eastAsia="Arial" w:hAnsi="Arial" w:cs="Arial"/>
        </w:rPr>
      </w:pPr>
      <w:r>
        <w:rPr>
          <w:rFonts w:ascii="Arial" w:eastAsia="Arial" w:hAnsi="Arial" w:cs="Arial"/>
        </w:rPr>
        <w:br/>
      </w:r>
      <w:r w:rsidR="00D673CD" w:rsidRPr="00D673CD">
        <w:rPr>
          <w:rFonts w:ascii="Arial" w:eastAsia="Arial" w:hAnsi="Arial" w:cs="Arial"/>
          <w:b/>
          <w:bCs/>
        </w:rPr>
        <w:t>Artículo 31. Registro técnico y trazabilidad.</w:t>
      </w:r>
      <w:r w:rsidR="00D673CD">
        <w:rPr>
          <w:rFonts w:ascii="Arial" w:eastAsia="Arial" w:hAnsi="Arial" w:cs="Arial"/>
          <w:b/>
          <w:bCs/>
        </w:rPr>
        <w:t xml:space="preserve"> </w:t>
      </w:r>
      <w:r>
        <w:rPr>
          <w:rFonts w:ascii="Arial" w:eastAsia="Arial" w:hAnsi="Arial" w:cs="Arial"/>
        </w:rPr>
        <w:t>Toda asignación, ajuste o certificación de nomenclatura deberá estar respaldada por registros técnicos verificables, que incluyan:</w:t>
      </w:r>
    </w:p>
    <w:p w14:paraId="000000E4" w14:textId="77777777" w:rsidR="0036083F" w:rsidRDefault="0011228F">
      <w:pPr>
        <w:numPr>
          <w:ilvl w:val="0"/>
          <w:numId w:val="15"/>
        </w:numPr>
        <w:jc w:val="both"/>
        <w:rPr>
          <w:rFonts w:ascii="Arial" w:eastAsia="Arial" w:hAnsi="Arial" w:cs="Arial"/>
        </w:rPr>
      </w:pPr>
      <w:r>
        <w:rPr>
          <w:rFonts w:ascii="Arial" w:eastAsia="Arial" w:hAnsi="Arial" w:cs="Arial"/>
        </w:rPr>
        <w:t>Acto administrativo correspondiente</w:t>
      </w:r>
    </w:p>
    <w:p w14:paraId="000000E5" w14:textId="77777777" w:rsidR="0036083F" w:rsidRDefault="0011228F">
      <w:pPr>
        <w:numPr>
          <w:ilvl w:val="0"/>
          <w:numId w:val="15"/>
        </w:numPr>
        <w:jc w:val="both"/>
        <w:rPr>
          <w:rFonts w:ascii="Arial" w:eastAsia="Arial" w:hAnsi="Arial" w:cs="Arial"/>
        </w:rPr>
      </w:pPr>
      <w:r>
        <w:rPr>
          <w:rFonts w:ascii="Arial" w:eastAsia="Arial" w:hAnsi="Arial" w:cs="Arial"/>
        </w:rPr>
        <w:t>Representación cartográfica</w:t>
      </w:r>
    </w:p>
    <w:p w14:paraId="000000E6" w14:textId="77777777" w:rsidR="0036083F" w:rsidRDefault="0011228F">
      <w:pPr>
        <w:numPr>
          <w:ilvl w:val="0"/>
          <w:numId w:val="15"/>
        </w:numPr>
        <w:jc w:val="both"/>
        <w:rPr>
          <w:rFonts w:ascii="Arial" w:eastAsia="Arial" w:hAnsi="Arial" w:cs="Arial"/>
        </w:rPr>
      </w:pPr>
      <w:r>
        <w:rPr>
          <w:rFonts w:ascii="Arial" w:eastAsia="Arial" w:hAnsi="Arial" w:cs="Arial"/>
        </w:rPr>
        <w:t>Ficha técnica del predio o vía</w:t>
      </w:r>
    </w:p>
    <w:p w14:paraId="000000E7" w14:textId="77777777" w:rsidR="0036083F" w:rsidRDefault="0011228F">
      <w:pPr>
        <w:numPr>
          <w:ilvl w:val="0"/>
          <w:numId w:val="15"/>
        </w:numPr>
        <w:jc w:val="both"/>
        <w:rPr>
          <w:rFonts w:ascii="Arial" w:eastAsia="Arial" w:hAnsi="Arial" w:cs="Arial"/>
        </w:rPr>
      </w:pPr>
      <w:r>
        <w:rPr>
          <w:rFonts w:ascii="Arial" w:eastAsia="Arial" w:hAnsi="Arial" w:cs="Arial"/>
        </w:rPr>
        <w:t>Fecha de emisión y responsable del trámite</w:t>
      </w:r>
    </w:p>
    <w:p w14:paraId="000000E8" w14:textId="77777777" w:rsidR="0036083F" w:rsidRDefault="0011228F">
      <w:pPr>
        <w:jc w:val="both"/>
        <w:rPr>
          <w:rFonts w:ascii="Arial" w:eastAsia="Arial" w:hAnsi="Arial" w:cs="Arial"/>
        </w:rPr>
      </w:pPr>
      <w:r>
        <w:rPr>
          <w:rFonts w:ascii="Arial" w:eastAsia="Arial" w:hAnsi="Arial" w:cs="Arial"/>
        </w:rPr>
        <w:t>Estos registros deberán conservarse conforme a las normas de archivo y gestión documental vigentes, y estar disponibles para consulta institucional y ciudadana según lo determine la administración.</w:t>
      </w:r>
    </w:p>
    <w:p w14:paraId="000000E9" w14:textId="77777777" w:rsidR="0036083F" w:rsidRDefault="0036083F">
      <w:pPr>
        <w:jc w:val="both"/>
        <w:rPr>
          <w:rFonts w:ascii="Arial" w:eastAsia="Arial" w:hAnsi="Arial" w:cs="Arial"/>
        </w:rPr>
      </w:pPr>
    </w:p>
    <w:p w14:paraId="000000EC" w14:textId="77777777" w:rsidR="0036083F" w:rsidRDefault="0011228F">
      <w:pPr>
        <w:spacing w:before="280" w:after="280" w:line="240" w:lineRule="auto"/>
        <w:jc w:val="center"/>
        <w:rPr>
          <w:rFonts w:ascii="Arial" w:eastAsia="Arial" w:hAnsi="Arial" w:cs="Arial"/>
          <w:b/>
          <w:bCs/>
        </w:rPr>
      </w:pPr>
      <w:r>
        <w:rPr>
          <w:rFonts w:ascii="Arial" w:eastAsia="Arial" w:hAnsi="Arial" w:cs="Arial"/>
          <w:b/>
          <w:bCs/>
        </w:rPr>
        <w:t>CAPÍTULO IX – DISPOSICIONES FINALES</w:t>
      </w:r>
    </w:p>
    <w:p w14:paraId="000000EF" w14:textId="5EFD97B6" w:rsidR="0036083F" w:rsidRDefault="0011228F">
      <w:pPr>
        <w:pStyle w:val="Ttulo3"/>
        <w:keepNext w:val="0"/>
        <w:keepLines w:val="0"/>
        <w:spacing w:before="280" w:line="240" w:lineRule="auto"/>
        <w:jc w:val="both"/>
        <w:rPr>
          <w:rFonts w:ascii="Arial" w:eastAsia="Arial" w:hAnsi="Arial" w:cs="Arial"/>
          <w:b/>
          <w:bCs/>
          <w:sz w:val="24"/>
          <w:szCs w:val="24"/>
        </w:rPr>
      </w:pPr>
      <w:bookmarkStart w:id="1" w:name="_heading=h.ytufk8exbxr4" w:colFirst="0" w:colLast="0"/>
      <w:bookmarkEnd w:id="1"/>
      <w:r>
        <w:rPr>
          <w:rFonts w:ascii="Arial" w:eastAsia="Arial" w:hAnsi="Arial" w:cs="Arial"/>
          <w:b/>
          <w:bCs/>
          <w:color w:val="000000"/>
          <w:sz w:val="24"/>
          <w:szCs w:val="24"/>
        </w:rPr>
        <w:t>Artículo 32: Actualización de planos técnicos.</w:t>
      </w:r>
      <w:r w:rsidR="00D673CD">
        <w:rPr>
          <w:rFonts w:ascii="Arial" w:eastAsia="Arial" w:hAnsi="Arial" w:cs="Arial"/>
          <w:b/>
          <w:bCs/>
          <w:color w:val="000000"/>
          <w:sz w:val="24"/>
          <w:szCs w:val="24"/>
        </w:rPr>
        <w:t xml:space="preserve"> </w:t>
      </w:r>
      <w:bookmarkStart w:id="2" w:name="_heading=h.lcrjooi6nc69" w:colFirst="0" w:colLast="0"/>
      <w:bookmarkEnd w:id="2"/>
      <w:r>
        <w:rPr>
          <w:rFonts w:ascii="Arial" w:eastAsia="Arial" w:hAnsi="Arial" w:cs="Arial"/>
          <w:color w:val="000000"/>
          <w:sz w:val="24"/>
          <w:szCs w:val="24"/>
        </w:rPr>
        <w:t>Los planos técnicos que forman parte del presente Acuerdo, incluyendo el Plano Técnico de Nomenclatura y los demás anexos cartográficos oficiales, podrán ser actualizados conforme a las necesidades del municipio. Estas actualizaciones se realizarán mediante el acto administrativo correspondiente, garantizando la coherencia con las determinaciones del presente Acuerdo y la correcta representación del territorio municipal.</w:t>
      </w:r>
    </w:p>
    <w:p w14:paraId="000000F1" w14:textId="65DE04B0" w:rsidR="0036083F" w:rsidRDefault="0011228F" w:rsidP="00D673CD">
      <w:pPr>
        <w:spacing w:before="280" w:after="280" w:line="240" w:lineRule="auto"/>
        <w:jc w:val="both"/>
        <w:rPr>
          <w:rFonts w:ascii="Arial" w:eastAsia="Arial" w:hAnsi="Arial" w:cs="Arial"/>
        </w:rPr>
      </w:pPr>
      <w:r>
        <w:rPr>
          <w:rFonts w:ascii="Arial" w:eastAsia="Arial" w:hAnsi="Arial" w:cs="Arial"/>
          <w:b/>
          <w:bCs/>
        </w:rPr>
        <w:t>Artículo 33. Reglamentación complementaria.</w:t>
      </w:r>
      <w:r w:rsidR="00D673CD">
        <w:rPr>
          <w:rFonts w:ascii="Arial" w:eastAsia="Arial" w:hAnsi="Arial" w:cs="Arial"/>
          <w:b/>
          <w:bCs/>
        </w:rPr>
        <w:t xml:space="preserve"> </w:t>
      </w:r>
      <w:r>
        <w:rPr>
          <w:rFonts w:ascii="Arial" w:eastAsia="Arial" w:hAnsi="Arial" w:cs="Arial"/>
        </w:rPr>
        <w:t>La administración municipal a través de la Secretaría de Planeación o de la dependencia que se designe podrá expedir actos administrativos, manuales técnicos, guías operativas o protocolos específicos que desarrollen, detallen o reglamenten aspectos técnicos, procedimentales o institucionales del sistema de nomenclatura vial y domiciliaria, en concordancia con lo establecido en el presente Acuerdo.</w:t>
      </w:r>
    </w:p>
    <w:p w14:paraId="000000F2" w14:textId="77777777" w:rsidR="0036083F" w:rsidRDefault="0011228F">
      <w:pPr>
        <w:spacing w:before="280" w:after="280" w:line="240" w:lineRule="auto"/>
        <w:jc w:val="both"/>
        <w:rPr>
          <w:rFonts w:ascii="Arial" w:eastAsia="Arial" w:hAnsi="Arial" w:cs="Arial"/>
        </w:rPr>
      </w:pPr>
      <w:r>
        <w:rPr>
          <w:rFonts w:ascii="Arial" w:eastAsia="Arial" w:hAnsi="Arial" w:cs="Arial"/>
        </w:rPr>
        <w:t>Dichos instrumentos deberán guardar coherencia técnica, jurídica y metodológica con las disposiciones aquí establecidas, y serán de obligatorio cumplimiento para las dependencias municipales y las entidades públicas o privadas que hagan uso de la información oficial de nomenclatura.</w:t>
      </w:r>
    </w:p>
    <w:p w14:paraId="000000F3" w14:textId="1166C9A7" w:rsidR="0036083F" w:rsidRDefault="0011228F">
      <w:pPr>
        <w:spacing w:before="280" w:after="280" w:line="240" w:lineRule="auto"/>
        <w:jc w:val="both"/>
        <w:rPr>
          <w:rFonts w:ascii="Arial" w:eastAsia="Arial" w:hAnsi="Arial" w:cs="Arial"/>
        </w:rPr>
      </w:pPr>
      <w:r>
        <w:rPr>
          <w:rFonts w:ascii="Arial" w:eastAsia="Arial" w:hAnsi="Arial" w:cs="Arial"/>
        </w:rPr>
        <w:lastRenderedPageBreak/>
        <w:br/>
      </w:r>
      <w:r w:rsidR="00D673CD" w:rsidRPr="00D673CD">
        <w:rPr>
          <w:rFonts w:ascii="Arial" w:eastAsia="Arial" w:hAnsi="Arial" w:cs="Arial"/>
          <w:b/>
          <w:bCs/>
        </w:rPr>
        <w:t>Artículo 34. Vigencia.</w:t>
      </w:r>
      <w:r w:rsidR="00D673CD">
        <w:rPr>
          <w:rFonts w:ascii="Arial" w:eastAsia="Arial" w:hAnsi="Arial" w:cs="Arial"/>
        </w:rPr>
        <w:t xml:space="preserve"> </w:t>
      </w:r>
      <w:r>
        <w:rPr>
          <w:rFonts w:ascii="Arial" w:eastAsia="Arial" w:hAnsi="Arial" w:cs="Arial"/>
        </w:rPr>
        <w:t>El presente Acuerdo rige a partir de la fecha de su publicación y deroga expresamente todas las disposiciones que le sean contrarias.</w:t>
      </w:r>
    </w:p>
    <w:p w14:paraId="000000F5" w14:textId="47DAAC9A" w:rsidR="0036083F" w:rsidRDefault="0011228F" w:rsidP="00D673CD">
      <w:pPr>
        <w:spacing w:before="280" w:after="280" w:line="240" w:lineRule="auto"/>
        <w:jc w:val="both"/>
        <w:rPr>
          <w:rFonts w:ascii="Arial" w:eastAsia="Arial" w:hAnsi="Arial" w:cs="Arial"/>
        </w:rPr>
      </w:pPr>
      <w:r>
        <w:rPr>
          <w:rFonts w:ascii="Arial" w:eastAsia="Arial" w:hAnsi="Arial" w:cs="Arial"/>
          <w:b/>
          <w:bCs/>
        </w:rPr>
        <w:t>Artículo 33. Anexos técnicos.</w:t>
      </w:r>
      <w:r w:rsidR="00D673CD">
        <w:rPr>
          <w:rFonts w:ascii="Arial" w:eastAsia="Arial" w:hAnsi="Arial" w:cs="Arial"/>
          <w:b/>
          <w:bCs/>
        </w:rPr>
        <w:t xml:space="preserve"> </w:t>
      </w:r>
      <w:r>
        <w:rPr>
          <w:rFonts w:ascii="Arial" w:eastAsia="Arial" w:hAnsi="Arial" w:cs="Arial"/>
        </w:rPr>
        <w:t>Forman parte integral del presente Acuerdo los siguientes anexos técnicos, los cuales contienen la información técnica y cartográfica oficial del Sistema de Nomenclatura Vial y Domiciliaria del Municipio de [Nombre del Municipio], correspondiente tanto a la cabecera municipal como a los centros poblados en los que se requiera la administración y gestión de nomenclatura vial y domiciliaria por parte del municipio:</w:t>
      </w:r>
    </w:p>
    <w:p w14:paraId="000000F6" w14:textId="77777777" w:rsidR="0036083F" w:rsidRDefault="0011228F">
      <w:pPr>
        <w:numPr>
          <w:ilvl w:val="0"/>
          <w:numId w:val="16"/>
        </w:numPr>
        <w:spacing w:before="280" w:after="0" w:line="240" w:lineRule="auto"/>
        <w:rPr>
          <w:rFonts w:ascii="Arial" w:eastAsia="Arial" w:hAnsi="Arial" w:cs="Arial"/>
        </w:rPr>
      </w:pPr>
      <w:r>
        <w:rPr>
          <w:rFonts w:ascii="Arial" w:eastAsia="Arial" w:hAnsi="Arial" w:cs="Arial"/>
        </w:rPr>
        <w:t>Anexo Técnico 1: Mapa Oficial de Ejes Estructurantes</w:t>
      </w:r>
    </w:p>
    <w:p w14:paraId="000000F7" w14:textId="77777777" w:rsidR="0036083F" w:rsidRDefault="0011228F">
      <w:pPr>
        <w:numPr>
          <w:ilvl w:val="0"/>
          <w:numId w:val="16"/>
        </w:numPr>
        <w:spacing w:after="0" w:line="240" w:lineRule="auto"/>
        <w:rPr>
          <w:rFonts w:ascii="Arial" w:eastAsia="Arial" w:hAnsi="Arial" w:cs="Arial"/>
        </w:rPr>
      </w:pPr>
      <w:r>
        <w:rPr>
          <w:rFonts w:ascii="Arial" w:eastAsia="Arial" w:hAnsi="Arial" w:cs="Arial"/>
        </w:rPr>
        <w:t>Anexo Técnico 2: Mapa Oficial de Zonas Unificadas de Nomenclatura Urbana (ZUNU)</w:t>
      </w:r>
    </w:p>
    <w:p w14:paraId="000000F8" w14:textId="77777777" w:rsidR="0036083F" w:rsidRDefault="0011228F">
      <w:pPr>
        <w:numPr>
          <w:ilvl w:val="0"/>
          <w:numId w:val="16"/>
        </w:numPr>
        <w:spacing w:after="0" w:line="240" w:lineRule="auto"/>
        <w:rPr>
          <w:rFonts w:ascii="Arial" w:eastAsia="Arial" w:hAnsi="Arial" w:cs="Arial"/>
        </w:rPr>
      </w:pPr>
      <w:r>
        <w:rPr>
          <w:rFonts w:ascii="Arial" w:eastAsia="Arial" w:hAnsi="Arial" w:cs="Arial"/>
        </w:rPr>
        <w:t>Anexo Técnico 3: Plano Técnico del Modelo de Nomenclatura</w:t>
      </w:r>
    </w:p>
    <w:p w14:paraId="000000F9" w14:textId="47BF3B09" w:rsidR="0036083F" w:rsidRDefault="0011228F">
      <w:pPr>
        <w:numPr>
          <w:ilvl w:val="0"/>
          <w:numId w:val="16"/>
        </w:numPr>
        <w:spacing w:after="0" w:line="240" w:lineRule="auto"/>
        <w:rPr>
          <w:rFonts w:ascii="Arial" w:eastAsia="Arial" w:hAnsi="Arial" w:cs="Arial"/>
        </w:rPr>
      </w:pPr>
      <w:r>
        <w:rPr>
          <w:rFonts w:ascii="Arial" w:eastAsia="Arial" w:hAnsi="Arial" w:cs="Arial"/>
        </w:rPr>
        <w:t xml:space="preserve">Anexo Técnico 4: Manual de </w:t>
      </w:r>
      <w:r w:rsidR="001E29EC">
        <w:rPr>
          <w:rFonts w:ascii="Arial" w:eastAsia="Arial" w:hAnsi="Arial" w:cs="Arial"/>
        </w:rPr>
        <w:t xml:space="preserve">Nomenclatura </w:t>
      </w:r>
    </w:p>
    <w:p w14:paraId="000000FA" w14:textId="7E3253F1" w:rsidR="0036083F" w:rsidRDefault="0011228F">
      <w:pPr>
        <w:numPr>
          <w:ilvl w:val="0"/>
          <w:numId w:val="16"/>
        </w:numPr>
        <w:spacing w:after="280" w:line="240" w:lineRule="auto"/>
        <w:rPr>
          <w:rFonts w:ascii="Arial" w:eastAsia="Arial" w:hAnsi="Arial" w:cs="Arial"/>
        </w:rPr>
      </w:pPr>
      <w:r>
        <w:rPr>
          <w:rFonts w:ascii="Arial" w:eastAsia="Arial" w:hAnsi="Arial" w:cs="Arial"/>
        </w:rPr>
        <w:t xml:space="preserve">Anexo Técnico 5: </w:t>
      </w:r>
      <w:r w:rsidR="009F3241">
        <w:rPr>
          <w:rFonts w:ascii="Arial" w:eastAsia="Arial" w:hAnsi="Arial" w:cs="Arial"/>
        </w:rPr>
        <w:t>Recomendaciones</w:t>
      </w:r>
      <w:r>
        <w:rPr>
          <w:rFonts w:ascii="Arial" w:eastAsia="Arial" w:hAnsi="Arial" w:cs="Arial"/>
        </w:rPr>
        <w:t xml:space="preserve"> técnic</w:t>
      </w:r>
      <w:r w:rsidR="009F3241">
        <w:rPr>
          <w:rFonts w:ascii="Arial" w:eastAsia="Arial" w:hAnsi="Arial" w:cs="Arial"/>
        </w:rPr>
        <w:t>a</w:t>
      </w:r>
      <w:r>
        <w:rPr>
          <w:rFonts w:ascii="Arial" w:eastAsia="Arial" w:hAnsi="Arial" w:cs="Arial"/>
        </w:rPr>
        <w:t xml:space="preserve">s y </w:t>
      </w:r>
      <w:proofErr w:type="spellStart"/>
      <w:r>
        <w:rPr>
          <w:rFonts w:ascii="Arial" w:eastAsia="Arial" w:hAnsi="Arial" w:cs="Arial"/>
        </w:rPr>
        <w:t>operativ</w:t>
      </w:r>
      <w:r w:rsidR="009F3241">
        <w:rPr>
          <w:rFonts w:ascii="Arial" w:eastAsia="Arial" w:hAnsi="Arial" w:cs="Arial"/>
        </w:rPr>
        <w:t>s</w:t>
      </w:r>
      <w:r>
        <w:rPr>
          <w:rFonts w:ascii="Arial" w:eastAsia="Arial" w:hAnsi="Arial" w:cs="Arial"/>
        </w:rPr>
        <w:t>s</w:t>
      </w:r>
      <w:proofErr w:type="spellEnd"/>
      <w:r>
        <w:rPr>
          <w:rFonts w:ascii="Arial" w:eastAsia="Arial" w:hAnsi="Arial" w:cs="Arial"/>
        </w:rPr>
        <w:t xml:space="preserve"> para la materialización de la nomenclatura urbana.</w:t>
      </w:r>
    </w:p>
    <w:p w14:paraId="000000FB" w14:textId="77777777" w:rsidR="0036083F" w:rsidRDefault="0011228F">
      <w:pPr>
        <w:spacing w:before="280" w:line="240" w:lineRule="auto"/>
        <w:jc w:val="both"/>
        <w:rPr>
          <w:rFonts w:ascii="Arial" w:eastAsia="Arial" w:hAnsi="Arial" w:cs="Arial"/>
        </w:rPr>
      </w:pPr>
      <w:r>
        <w:rPr>
          <w:rFonts w:ascii="Arial" w:eastAsia="Arial" w:hAnsi="Arial" w:cs="Arial"/>
          <w:b/>
          <w:bCs/>
        </w:rPr>
        <w:t>Parágrafo 1.</w:t>
      </w:r>
      <w:r>
        <w:rPr>
          <w:rFonts w:ascii="Arial" w:eastAsia="Arial" w:hAnsi="Arial" w:cs="Arial"/>
        </w:rPr>
        <w:t xml:space="preserve"> Los planos, mapas y representaciones cartográficas contenidas en estos anexos deberán reflejar de manera clara y actualizada la estructura vial, la delimitación de zonas y la lógica de asignación de nomenclatura en cada área urbana administrada por el municipio, incluyendo la cabecera municipal y los centros poblados que así lo requieran.</w:t>
      </w:r>
    </w:p>
    <w:p w14:paraId="000000FC" w14:textId="77777777" w:rsidR="0036083F" w:rsidRDefault="0011228F">
      <w:pPr>
        <w:spacing w:before="280" w:line="240" w:lineRule="auto"/>
        <w:jc w:val="both"/>
        <w:rPr>
          <w:rFonts w:ascii="Arial" w:eastAsia="Arial" w:hAnsi="Arial" w:cs="Arial"/>
        </w:rPr>
      </w:pPr>
      <w:r>
        <w:rPr>
          <w:rFonts w:ascii="Arial" w:eastAsia="Arial" w:hAnsi="Arial" w:cs="Arial"/>
          <w:b/>
          <w:bCs/>
        </w:rPr>
        <w:t>Parágrafo 2.</w:t>
      </w:r>
      <w:r>
        <w:rPr>
          <w:rFonts w:ascii="Arial" w:eastAsia="Arial" w:hAnsi="Arial" w:cs="Arial"/>
        </w:rPr>
        <w:t xml:space="preserve"> Harán parte integral del presente acuerdo las orientaciones, lineamientos y disposiciones de orden nacional que emitan las autoridades competentes en la materia, las cuales deberán aplicarse de manera complementaria y coherente con lo aquí establecido.</w:t>
      </w:r>
    </w:p>
    <w:p w14:paraId="000000FD" w14:textId="3C9650B0" w:rsidR="0036083F" w:rsidRDefault="0036083F">
      <w:pPr>
        <w:spacing w:before="280" w:line="240" w:lineRule="auto"/>
        <w:jc w:val="both"/>
        <w:rPr>
          <w:color w:val="EE0000"/>
        </w:rPr>
      </w:pPr>
    </w:p>
    <w:sectPr w:rsidR="0036083F">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8271E7A2-1817-4398-8B71-1CF6F1191F72}"/>
    <w:embedBold r:id="rId2" w:fontKey="{7166533C-2155-4C53-B927-0D55E597BEDB}"/>
    <w:embedItalic r:id="rId3" w:fontKey="{31B604D5-E603-4F41-99D5-D6D80846B270}"/>
  </w:font>
  <w:font w:name="Play">
    <w:altName w:val="Calibri"/>
    <w:charset w:val="00"/>
    <w:family w:val="auto"/>
    <w:pitch w:val="default"/>
    <w:embedRegular r:id="rId4" w:fontKey="{7AC9765B-45B6-4474-B72C-E854B0C5191F}"/>
  </w:font>
  <w:font w:name="Aptos Display">
    <w:charset w:val="00"/>
    <w:family w:val="swiss"/>
    <w:pitch w:val="variable"/>
    <w:sig w:usb0="20000287" w:usb1="00000003" w:usb2="00000000" w:usb3="00000000" w:csb0="0000019F" w:csb1="00000000"/>
    <w:embedRegular r:id="rId5" w:fontKey="{1CBC4795-0AE7-47B4-9898-EE388B6D4388}"/>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04CF"/>
    <w:multiLevelType w:val="multilevel"/>
    <w:tmpl w:val="573871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upperLetter"/>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2D433AB"/>
    <w:multiLevelType w:val="multilevel"/>
    <w:tmpl w:val="EB2463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0649C7"/>
    <w:multiLevelType w:val="multilevel"/>
    <w:tmpl w:val="183059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E88201B"/>
    <w:multiLevelType w:val="multilevel"/>
    <w:tmpl w:val="C4EE87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B9E2494"/>
    <w:multiLevelType w:val="multilevel"/>
    <w:tmpl w:val="E2AC7A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BC4643D"/>
    <w:multiLevelType w:val="multilevel"/>
    <w:tmpl w:val="64BE52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3C8792B"/>
    <w:multiLevelType w:val="multilevel"/>
    <w:tmpl w:val="93244DB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A930EAE"/>
    <w:multiLevelType w:val="multilevel"/>
    <w:tmpl w:val="AB12809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3F75389E"/>
    <w:multiLevelType w:val="multilevel"/>
    <w:tmpl w:val="687A75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0AA04B3"/>
    <w:multiLevelType w:val="multilevel"/>
    <w:tmpl w:val="1DEE9D7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9AA31A9"/>
    <w:multiLevelType w:val="multilevel"/>
    <w:tmpl w:val="CA885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5365159"/>
    <w:multiLevelType w:val="multilevel"/>
    <w:tmpl w:val="12AA5D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568B6CC0"/>
    <w:multiLevelType w:val="multilevel"/>
    <w:tmpl w:val="C2B2A3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E9F42CB"/>
    <w:multiLevelType w:val="multilevel"/>
    <w:tmpl w:val="2C200E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6221626B"/>
    <w:multiLevelType w:val="multilevel"/>
    <w:tmpl w:val="C01440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9290D11"/>
    <w:multiLevelType w:val="multilevel"/>
    <w:tmpl w:val="F9BE84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71AF214C"/>
    <w:multiLevelType w:val="multilevel"/>
    <w:tmpl w:val="377A9B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26444CB"/>
    <w:multiLevelType w:val="multilevel"/>
    <w:tmpl w:val="B3F2D60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733175AA"/>
    <w:multiLevelType w:val="multilevel"/>
    <w:tmpl w:val="9CAE68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75CD0F19"/>
    <w:multiLevelType w:val="multilevel"/>
    <w:tmpl w:val="EEE2F6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76D938CF"/>
    <w:multiLevelType w:val="multilevel"/>
    <w:tmpl w:val="3A3677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774E2EA8"/>
    <w:multiLevelType w:val="multilevel"/>
    <w:tmpl w:val="3F24B3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A63749F"/>
    <w:multiLevelType w:val="multilevel"/>
    <w:tmpl w:val="8154F7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7B110521"/>
    <w:multiLevelType w:val="multilevel"/>
    <w:tmpl w:val="DECAAC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DAC7D8B"/>
    <w:multiLevelType w:val="multilevel"/>
    <w:tmpl w:val="1F28B8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7DD538DB"/>
    <w:multiLevelType w:val="multilevel"/>
    <w:tmpl w:val="DB7238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2946300">
    <w:abstractNumId w:val="16"/>
  </w:num>
  <w:num w:numId="2" w16cid:durableId="1952711492">
    <w:abstractNumId w:val="10"/>
  </w:num>
  <w:num w:numId="3" w16cid:durableId="1068919402">
    <w:abstractNumId w:val="7"/>
  </w:num>
  <w:num w:numId="4" w16cid:durableId="564681739">
    <w:abstractNumId w:val="23"/>
  </w:num>
  <w:num w:numId="5" w16cid:durableId="1967078605">
    <w:abstractNumId w:val="1"/>
  </w:num>
  <w:num w:numId="6" w16cid:durableId="1678649245">
    <w:abstractNumId w:val="21"/>
  </w:num>
  <w:num w:numId="7" w16cid:durableId="372274328">
    <w:abstractNumId w:val="17"/>
  </w:num>
  <w:num w:numId="8" w16cid:durableId="110517185">
    <w:abstractNumId w:val="12"/>
  </w:num>
  <w:num w:numId="9" w16cid:durableId="2042582301">
    <w:abstractNumId w:val="19"/>
  </w:num>
  <w:num w:numId="10" w16cid:durableId="1462992699">
    <w:abstractNumId w:val="13"/>
  </w:num>
  <w:num w:numId="11" w16cid:durableId="374889866">
    <w:abstractNumId w:val="2"/>
  </w:num>
  <w:num w:numId="12" w16cid:durableId="267931203">
    <w:abstractNumId w:val="24"/>
  </w:num>
  <w:num w:numId="13" w16cid:durableId="1093935845">
    <w:abstractNumId w:val="0"/>
  </w:num>
  <w:num w:numId="14" w16cid:durableId="928779825">
    <w:abstractNumId w:val="4"/>
  </w:num>
  <w:num w:numId="15" w16cid:durableId="1424957586">
    <w:abstractNumId w:val="22"/>
  </w:num>
  <w:num w:numId="16" w16cid:durableId="1679771541">
    <w:abstractNumId w:val="14"/>
  </w:num>
  <w:num w:numId="17" w16cid:durableId="998072187">
    <w:abstractNumId w:val="20"/>
  </w:num>
  <w:num w:numId="18" w16cid:durableId="1052998959">
    <w:abstractNumId w:val="15"/>
  </w:num>
  <w:num w:numId="19" w16cid:durableId="146866754">
    <w:abstractNumId w:val="3"/>
  </w:num>
  <w:num w:numId="20" w16cid:durableId="2711384">
    <w:abstractNumId w:val="5"/>
  </w:num>
  <w:num w:numId="21" w16cid:durableId="291328542">
    <w:abstractNumId w:val="11"/>
  </w:num>
  <w:num w:numId="22" w16cid:durableId="266432156">
    <w:abstractNumId w:val="18"/>
  </w:num>
  <w:num w:numId="23" w16cid:durableId="2125422907">
    <w:abstractNumId w:val="25"/>
  </w:num>
  <w:num w:numId="24" w16cid:durableId="1583102399">
    <w:abstractNumId w:val="8"/>
  </w:num>
  <w:num w:numId="25" w16cid:durableId="1050156375">
    <w:abstractNumId w:val="6"/>
  </w:num>
  <w:num w:numId="26" w16cid:durableId="19822726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83F"/>
    <w:rsid w:val="000358F9"/>
    <w:rsid w:val="000D1BFA"/>
    <w:rsid w:val="000E5B89"/>
    <w:rsid w:val="0011228F"/>
    <w:rsid w:val="00154FA7"/>
    <w:rsid w:val="00181D96"/>
    <w:rsid w:val="001D2898"/>
    <w:rsid w:val="001E29EC"/>
    <w:rsid w:val="00281262"/>
    <w:rsid w:val="002B629B"/>
    <w:rsid w:val="002C383B"/>
    <w:rsid w:val="002E6B32"/>
    <w:rsid w:val="0036083F"/>
    <w:rsid w:val="00425FD7"/>
    <w:rsid w:val="004611E7"/>
    <w:rsid w:val="00480BB4"/>
    <w:rsid w:val="004951C4"/>
    <w:rsid w:val="004B1B40"/>
    <w:rsid w:val="004E1539"/>
    <w:rsid w:val="00524A20"/>
    <w:rsid w:val="00540A42"/>
    <w:rsid w:val="005504B0"/>
    <w:rsid w:val="005674BF"/>
    <w:rsid w:val="00572F04"/>
    <w:rsid w:val="005F4CA6"/>
    <w:rsid w:val="00615180"/>
    <w:rsid w:val="00627D9D"/>
    <w:rsid w:val="0065397F"/>
    <w:rsid w:val="00677898"/>
    <w:rsid w:val="006820ED"/>
    <w:rsid w:val="006843B9"/>
    <w:rsid w:val="006965A3"/>
    <w:rsid w:val="006A5009"/>
    <w:rsid w:val="006C7112"/>
    <w:rsid w:val="007473B3"/>
    <w:rsid w:val="00775C8A"/>
    <w:rsid w:val="0087241F"/>
    <w:rsid w:val="00897A96"/>
    <w:rsid w:val="008A2D1C"/>
    <w:rsid w:val="008D4A76"/>
    <w:rsid w:val="009312BB"/>
    <w:rsid w:val="00945DA1"/>
    <w:rsid w:val="0096712C"/>
    <w:rsid w:val="009F3241"/>
    <w:rsid w:val="00A21D51"/>
    <w:rsid w:val="00A315B4"/>
    <w:rsid w:val="00A42F8B"/>
    <w:rsid w:val="00A80E9B"/>
    <w:rsid w:val="00AF5F22"/>
    <w:rsid w:val="00B404AD"/>
    <w:rsid w:val="00B57DC9"/>
    <w:rsid w:val="00BC1809"/>
    <w:rsid w:val="00BC35B2"/>
    <w:rsid w:val="00BE47E3"/>
    <w:rsid w:val="00BE6A5F"/>
    <w:rsid w:val="00C37A8D"/>
    <w:rsid w:val="00CC3D80"/>
    <w:rsid w:val="00D357F8"/>
    <w:rsid w:val="00D54B49"/>
    <w:rsid w:val="00D673CD"/>
    <w:rsid w:val="00D76010"/>
    <w:rsid w:val="00DB7ADF"/>
    <w:rsid w:val="00E703E6"/>
    <w:rsid w:val="00EC07A8"/>
    <w:rsid w:val="00EC74AA"/>
    <w:rsid w:val="00F34252"/>
    <w:rsid w:val="00F45C5E"/>
    <w:rsid w:val="00F63A33"/>
    <w:rsid w:val="00F669A0"/>
    <w:rsid w:val="00FA409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EAC6E"/>
  <w15:docId w15:val="{0787C08B-70A4-4036-835F-637720740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CO" w:eastAsia="es-CO"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E5319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5319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5319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character" w:customStyle="1" w:styleId="Ttulo1Car">
    <w:name w:val="Título 1 Car"/>
    <w:basedOn w:val="Fuentedeprrafopredeter"/>
    <w:uiPriority w:val="9"/>
    <w:rsid w:val="00E5319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rsid w:val="00E5319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E53191"/>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E53191"/>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E53191"/>
    <w:rPr>
      <w:rFonts w:eastAsiaTheme="majorEastAsia" w:cstheme="majorBidi"/>
      <w:color w:val="0F4761" w:themeColor="accent1" w:themeShade="BF"/>
    </w:rPr>
  </w:style>
  <w:style w:type="character" w:customStyle="1" w:styleId="Ttulo6Car">
    <w:name w:val="Título 6 Car"/>
    <w:basedOn w:val="Fuentedeprrafopredeter"/>
    <w:uiPriority w:val="9"/>
    <w:semiHidden/>
    <w:rsid w:val="00E5319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5319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5319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53191"/>
    <w:rPr>
      <w:rFonts w:eastAsiaTheme="majorEastAsia" w:cstheme="majorBidi"/>
      <w:color w:val="272727" w:themeColor="text1" w:themeTint="D8"/>
    </w:rPr>
  </w:style>
  <w:style w:type="character" w:customStyle="1" w:styleId="TtuloCar">
    <w:name w:val="Título Car"/>
    <w:basedOn w:val="Fuentedeprrafopredeter"/>
    <w:uiPriority w:val="10"/>
    <w:rsid w:val="00E53191"/>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E5319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53191"/>
    <w:pPr>
      <w:spacing w:before="160"/>
      <w:jc w:val="center"/>
    </w:pPr>
    <w:rPr>
      <w:i/>
      <w:iCs/>
      <w:color w:val="404040" w:themeColor="text1" w:themeTint="BF"/>
    </w:rPr>
  </w:style>
  <w:style w:type="character" w:customStyle="1" w:styleId="CitaCar">
    <w:name w:val="Cita Car"/>
    <w:basedOn w:val="Fuentedeprrafopredeter"/>
    <w:link w:val="Cita"/>
    <w:uiPriority w:val="29"/>
    <w:rsid w:val="00E53191"/>
    <w:rPr>
      <w:i/>
      <w:iCs/>
      <w:color w:val="404040" w:themeColor="text1" w:themeTint="BF"/>
    </w:rPr>
  </w:style>
  <w:style w:type="paragraph" w:styleId="Prrafodelista">
    <w:name w:val="List Paragraph"/>
    <w:basedOn w:val="Normal"/>
    <w:uiPriority w:val="34"/>
    <w:qFormat/>
    <w:rsid w:val="00E53191"/>
    <w:pPr>
      <w:ind w:left="720"/>
      <w:contextualSpacing/>
    </w:pPr>
  </w:style>
  <w:style w:type="character" w:styleId="nfasisintenso">
    <w:name w:val="Intense Emphasis"/>
    <w:basedOn w:val="Fuentedeprrafopredeter"/>
    <w:uiPriority w:val="21"/>
    <w:qFormat/>
    <w:rsid w:val="00E53191"/>
    <w:rPr>
      <w:i/>
      <w:iCs/>
      <w:color w:val="0F4761" w:themeColor="accent1" w:themeShade="BF"/>
    </w:rPr>
  </w:style>
  <w:style w:type="paragraph" w:styleId="Citadestacada">
    <w:name w:val="Intense Quote"/>
    <w:basedOn w:val="Normal"/>
    <w:next w:val="Normal"/>
    <w:link w:val="CitadestacadaCar"/>
    <w:uiPriority w:val="30"/>
    <w:qFormat/>
    <w:rsid w:val="00E531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53191"/>
    <w:rPr>
      <w:i/>
      <w:iCs/>
      <w:color w:val="0F4761" w:themeColor="accent1" w:themeShade="BF"/>
    </w:rPr>
  </w:style>
  <w:style w:type="character" w:styleId="Referenciaintensa">
    <w:name w:val="Intense Reference"/>
    <w:basedOn w:val="Fuentedeprrafopredeter"/>
    <w:uiPriority w:val="32"/>
    <w:qFormat/>
    <w:rsid w:val="00E53191"/>
    <w:rPr>
      <w:b/>
      <w:bCs/>
      <w:smallCaps/>
      <w:color w:val="0F4761" w:themeColor="accent1" w:themeShade="BF"/>
      <w:spacing w:val="5"/>
    </w:rPr>
  </w:style>
  <w:style w:type="paragraph" w:styleId="NormalWeb">
    <w:name w:val="Normal (Web)"/>
    <w:basedOn w:val="Normal"/>
    <w:uiPriority w:val="99"/>
    <w:semiHidden/>
    <w:unhideWhenUsed/>
    <w:rsid w:val="003C5973"/>
    <w:rPr>
      <w:rFonts w:ascii="Times New Roman" w:hAnsi="Times New Roman" w:cs="Times New Roman"/>
    </w:rPr>
  </w:style>
  <w:style w:type="paragraph" w:styleId="Subttulo">
    <w:name w:val="Subtitle"/>
    <w:basedOn w:val="Normal"/>
    <w:next w:val="Normal"/>
    <w:uiPriority w:val="11"/>
    <w:qFormat/>
    <w:rPr>
      <w:color w:val="595959"/>
      <w:sz w:val="28"/>
      <w:szCs w:val="28"/>
    </w:rPr>
  </w:style>
  <w:style w:type="paragraph" w:styleId="Revisin">
    <w:name w:val="Revision"/>
    <w:hidden/>
    <w:uiPriority w:val="99"/>
    <w:semiHidden/>
    <w:rsid w:val="00154FA7"/>
    <w:pPr>
      <w:spacing w:after="0" w:line="240" w:lineRule="auto"/>
    </w:pPr>
  </w:style>
  <w:style w:type="character" w:styleId="Refdecomentario">
    <w:name w:val="annotation reference"/>
    <w:basedOn w:val="Fuentedeprrafopredeter"/>
    <w:uiPriority w:val="99"/>
    <w:semiHidden/>
    <w:unhideWhenUsed/>
    <w:rsid w:val="00540A42"/>
    <w:rPr>
      <w:sz w:val="16"/>
      <w:szCs w:val="16"/>
    </w:rPr>
  </w:style>
  <w:style w:type="paragraph" w:styleId="Textocomentario">
    <w:name w:val="annotation text"/>
    <w:basedOn w:val="Normal"/>
    <w:link w:val="TextocomentarioCar"/>
    <w:uiPriority w:val="99"/>
    <w:unhideWhenUsed/>
    <w:rsid w:val="00540A42"/>
    <w:pPr>
      <w:spacing w:line="240" w:lineRule="auto"/>
    </w:pPr>
    <w:rPr>
      <w:sz w:val="20"/>
      <w:szCs w:val="20"/>
    </w:rPr>
  </w:style>
  <w:style w:type="character" w:customStyle="1" w:styleId="TextocomentarioCar">
    <w:name w:val="Texto comentario Car"/>
    <w:basedOn w:val="Fuentedeprrafopredeter"/>
    <w:link w:val="Textocomentario"/>
    <w:uiPriority w:val="99"/>
    <w:rsid w:val="00540A42"/>
    <w:rPr>
      <w:sz w:val="20"/>
      <w:szCs w:val="20"/>
    </w:rPr>
  </w:style>
  <w:style w:type="paragraph" w:styleId="Asuntodelcomentario">
    <w:name w:val="annotation subject"/>
    <w:basedOn w:val="Textocomentario"/>
    <w:next w:val="Textocomentario"/>
    <w:link w:val="AsuntodelcomentarioCar"/>
    <w:uiPriority w:val="99"/>
    <w:semiHidden/>
    <w:unhideWhenUsed/>
    <w:rsid w:val="00540A42"/>
    <w:rPr>
      <w:b/>
      <w:bCs/>
    </w:rPr>
  </w:style>
  <w:style w:type="character" w:customStyle="1" w:styleId="AsuntodelcomentarioCar">
    <w:name w:val="Asunto del comentario Car"/>
    <w:basedOn w:val="TextocomentarioCar"/>
    <w:link w:val="Asuntodelcomentario"/>
    <w:uiPriority w:val="99"/>
    <w:semiHidden/>
    <w:rsid w:val="00540A42"/>
    <w:rPr>
      <w:b/>
      <w:bCs/>
      <w:sz w:val="20"/>
      <w:szCs w:val="20"/>
    </w:rPr>
  </w:style>
  <w:style w:type="character" w:styleId="Fuerte">
    <w:name w:val="Strong"/>
    <w:basedOn w:val="Fuentedeprrafopredeter"/>
    <w:uiPriority w:val="22"/>
    <w:qFormat/>
    <w:rsid w:val="00F342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nQhm6j+eI5bnukA2wKht9lIqtQ==">CgMxLjAyDmgudDRieXB5ZTA0Y3Y0Mg5oLnl0dWZrOGV4YnhyNDIOaC5sY3Jqb29pNm5jNjk4AHIhMUdEQjRnQnU5X1FzNlktMXg0MHlpc3hWUDRyVnFwbEM0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5642</Words>
  <Characters>33520</Characters>
  <Application>Microsoft Office Word</Application>
  <DocSecurity>0</DocSecurity>
  <Lines>817</Lines>
  <Paragraphs>356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Augusto Bonil Cubides</dc:creator>
  <cp:keywords/>
  <dc:description/>
  <cp:lastModifiedBy>ligia gonzalez</cp:lastModifiedBy>
  <cp:revision>3</cp:revision>
  <dcterms:created xsi:type="dcterms:W3CDTF">2026-03-16T15:58:00Z</dcterms:created>
  <dcterms:modified xsi:type="dcterms:W3CDTF">2026-05-30T00:08:00Z</dcterms:modified>
</cp:coreProperties>
</file>