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F2EEB" w:rsidRDefault="00E57539">
      <w:r>
        <w:rPr>
          <w:noProof/>
        </w:rPr>
        <w:drawing>
          <wp:inline distT="114300" distB="114300" distL="114300" distR="114300" wp14:anchorId="41FC0782" wp14:editId="7CB8E24F">
            <wp:extent cx="5247260" cy="7021573"/>
            <wp:effectExtent l="0" t="0" r="0" b="0"/>
            <wp:docPr id="1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a:stretch>
                      <a:fillRect/>
                    </a:stretch>
                  </pic:blipFill>
                  <pic:spPr>
                    <a:xfrm>
                      <a:off x="0" y="0"/>
                      <a:ext cx="5247260" cy="7021573"/>
                    </a:xfrm>
                    <a:prstGeom prst="rect">
                      <a:avLst/>
                    </a:prstGeom>
                    <a:ln/>
                  </pic:spPr>
                </pic:pic>
              </a:graphicData>
            </a:graphic>
          </wp:inline>
        </w:drawing>
      </w:r>
    </w:p>
    <w:p w14:paraId="00000002" w14:textId="77777777" w:rsidR="00EF2EEB" w:rsidRDefault="00E57539">
      <w:pPr>
        <w:pStyle w:val="Ttulo1"/>
        <w:spacing w:before="0" w:after="160" w:line="301" w:lineRule="auto"/>
        <w:jc w:val="center"/>
      </w:pPr>
      <w:bookmarkStart w:id="0" w:name="_heading=h.umm79rxsaasr" w:colFirst="0" w:colLast="0"/>
      <w:bookmarkStart w:id="1" w:name="_Toc228874205"/>
      <w:bookmarkEnd w:id="0"/>
      <w:r>
        <w:rPr>
          <w:rFonts w:ascii="Arial" w:eastAsia="Arial" w:hAnsi="Arial" w:cs="Arial"/>
          <w:b/>
          <w:bCs/>
          <w:noProof/>
          <w:color w:val="000000"/>
          <w:sz w:val="24"/>
          <w:szCs w:val="24"/>
        </w:rPr>
        <w:lastRenderedPageBreak/>
        <w:drawing>
          <wp:inline distT="114300" distB="114300" distL="114300" distR="114300" wp14:anchorId="5BCEF9F7" wp14:editId="2E586FF1">
            <wp:extent cx="5211763" cy="6974073"/>
            <wp:effectExtent l="0" t="0" r="0" b="0"/>
            <wp:docPr id="1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0"/>
                    <a:srcRect/>
                    <a:stretch>
                      <a:fillRect/>
                    </a:stretch>
                  </pic:blipFill>
                  <pic:spPr>
                    <a:xfrm>
                      <a:off x="0" y="0"/>
                      <a:ext cx="5211763" cy="6974073"/>
                    </a:xfrm>
                    <a:prstGeom prst="rect">
                      <a:avLst/>
                    </a:prstGeom>
                    <a:ln/>
                  </pic:spPr>
                </pic:pic>
              </a:graphicData>
            </a:graphic>
          </wp:inline>
        </w:drawing>
      </w:r>
      <w:bookmarkEnd w:id="1"/>
    </w:p>
    <w:p w14:paraId="00000005" w14:textId="77777777" w:rsidR="00EF2EEB" w:rsidRDefault="00E57539">
      <w:pPr>
        <w:widowControl w:val="0"/>
        <w:spacing w:after="0" w:line="276" w:lineRule="auto"/>
        <w:ind w:left="920" w:right="900"/>
        <w:jc w:val="center"/>
        <w:rPr>
          <w:rFonts w:ascii="Arial" w:eastAsia="Arial" w:hAnsi="Arial" w:cs="Arial"/>
          <w:b/>
          <w:bCs/>
          <w:sz w:val="32"/>
          <w:szCs w:val="32"/>
        </w:rPr>
      </w:pPr>
      <w:r>
        <w:rPr>
          <w:rFonts w:ascii="Arial" w:eastAsia="Arial" w:hAnsi="Arial" w:cs="Arial"/>
          <w:b/>
          <w:bCs/>
          <w:sz w:val="32"/>
          <w:szCs w:val="32"/>
        </w:rPr>
        <w:lastRenderedPageBreak/>
        <w:t>Conformación del inventario municipal de inmuebles y asignación de rutas para su saneamiento</w:t>
      </w:r>
    </w:p>
    <w:p w14:paraId="00000006" w14:textId="77777777" w:rsidR="00EF2EEB" w:rsidRDefault="00EF2EEB">
      <w:pPr>
        <w:widowControl w:val="0"/>
        <w:spacing w:after="0" w:line="276" w:lineRule="auto"/>
        <w:ind w:left="920" w:right="900"/>
        <w:jc w:val="center"/>
        <w:rPr>
          <w:rFonts w:ascii="Arial" w:eastAsia="Arial" w:hAnsi="Arial" w:cs="Arial"/>
          <w:b/>
          <w:bCs/>
          <w:sz w:val="32"/>
          <w:szCs w:val="32"/>
        </w:rPr>
      </w:pPr>
    </w:p>
    <w:p w14:paraId="00000007" w14:textId="77777777" w:rsidR="00EF2EEB" w:rsidRDefault="00EF2EEB">
      <w:pPr>
        <w:widowControl w:val="0"/>
        <w:spacing w:after="0" w:line="276" w:lineRule="auto"/>
        <w:ind w:right="900"/>
        <w:rPr>
          <w:rFonts w:ascii="Arial" w:eastAsia="Arial" w:hAnsi="Arial" w:cs="Arial"/>
          <w:b/>
          <w:bCs/>
        </w:rPr>
      </w:pPr>
    </w:p>
    <w:p w14:paraId="00000008" w14:textId="77777777" w:rsidR="00EF2EEB" w:rsidRDefault="00E57539">
      <w:pPr>
        <w:widowControl w:val="0"/>
        <w:spacing w:after="0" w:line="276" w:lineRule="auto"/>
        <w:ind w:left="920" w:right="900"/>
        <w:jc w:val="center"/>
        <w:rPr>
          <w:rFonts w:ascii="Arial" w:eastAsia="Arial" w:hAnsi="Arial" w:cs="Arial"/>
          <w:b/>
          <w:bCs/>
          <w:color w:val="000000"/>
        </w:rPr>
      </w:pPr>
      <w:r>
        <w:rPr>
          <w:rFonts w:ascii="Arial" w:eastAsia="Arial" w:hAnsi="Arial" w:cs="Arial"/>
          <w:b/>
          <w:bCs/>
          <w:color w:val="000000"/>
        </w:rPr>
        <w:t>CiuData+</w:t>
      </w:r>
    </w:p>
    <w:p w14:paraId="00000009" w14:textId="77777777" w:rsidR="00EF2EEB" w:rsidRDefault="00EF2EEB">
      <w:pPr>
        <w:widowControl w:val="0"/>
        <w:spacing w:after="0" w:line="276" w:lineRule="auto"/>
        <w:ind w:left="920" w:right="900"/>
        <w:jc w:val="center"/>
        <w:rPr>
          <w:rFonts w:ascii="Arial" w:eastAsia="Arial" w:hAnsi="Arial" w:cs="Arial"/>
          <w:b/>
          <w:bCs/>
        </w:rPr>
      </w:pPr>
    </w:p>
    <w:p w14:paraId="0000000A" w14:textId="77777777" w:rsidR="00EF2EEB" w:rsidRDefault="00E57539">
      <w:pPr>
        <w:widowControl w:val="0"/>
        <w:spacing w:after="0" w:line="276" w:lineRule="auto"/>
        <w:ind w:left="920" w:right="900"/>
        <w:jc w:val="center"/>
        <w:rPr>
          <w:rFonts w:ascii="Arial" w:eastAsia="Arial" w:hAnsi="Arial" w:cs="Arial"/>
          <w:b/>
          <w:bCs/>
          <w:color w:val="000000"/>
        </w:rPr>
      </w:pPr>
      <w:r>
        <w:rPr>
          <w:rFonts w:ascii="Arial" w:eastAsia="Arial" w:hAnsi="Arial" w:cs="Arial"/>
          <w:b/>
          <w:bCs/>
          <w:color w:val="000000"/>
        </w:rPr>
        <w:t>“Programa para el Fortalecimiento de Gobiernos Subnacionales</w:t>
      </w:r>
      <w:r>
        <w:rPr>
          <w:rFonts w:ascii="Arial" w:eastAsia="Arial" w:hAnsi="Arial" w:cs="Arial"/>
          <w:b/>
          <w:bCs/>
        </w:rPr>
        <w:t xml:space="preserve"> </w:t>
      </w:r>
      <w:r>
        <w:rPr>
          <w:rFonts w:ascii="Arial" w:eastAsia="Arial" w:hAnsi="Arial" w:cs="Arial"/>
          <w:b/>
          <w:bCs/>
          <w:color w:val="000000"/>
        </w:rPr>
        <w:t xml:space="preserve">en la Administración de Tierras y Gestión Fiscal en Colombia del Banco Mundial” </w:t>
      </w:r>
    </w:p>
    <w:p w14:paraId="0000000B" w14:textId="77777777" w:rsidR="00EF2EEB" w:rsidRDefault="00E57539">
      <w:pPr>
        <w:pStyle w:val="Ttulo1"/>
        <w:spacing w:before="0" w:after="160" w:line="301"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 </w:t>
      </w:r>
    </w:p>
    <w:p w14:paraId="0000000C" w14:textId="77777777" w:rsidR="00EF2EEB" w:rsidRDefault="00E57539" w:rsidP="00D7638B">
      <w:r>
        <w:t xml:space="preserve"> </w:t>
      </w:r>
    </w:p>
    <w:p w14:paraId="0000000D" w14:textId="77777777" w:rsidR="00EF2EEB" w:rsidRDefault="00E57539">
      <w:pPr>
        <w:pStyle w:val="Ttulo1"/>
        <w:spacing w:before="0" w:after="160" w:line="301" w:lineRule="auto"/>
        <w:rPr>
          <w:rFonts w:ascii="Arial" w:eastAsia="Arial" w:hAnsi="Arial" w:cs="Arial"/>
          <w:b/>
          <w:bCs/>
          <w:color w:val="000000"/>
          <w:sz w:val="24"/>
          <w:szCs w:val="24"/>
        </w:rPr>
      </w:pPr>
      <w:r>
        <w:rPr>
          <w:rFonts w:ascii="Arial" w:eastAsia="Arial" w:hAnsi="Arial" w:cs="Arial"/>
          <w:b/>
          <w:bCs/>
          <w:color w:val="000000"/>
          <w:sz w:val="24"/>
          <w:szCs w:val="24"/>
        </w:rPr>
        <w:t xml:space="preserve"> </w:t>
      </w:r>
    </w:p>
    <w:p w14:paraId="0000000E" w14:textId="612B1717" w:rsidR="00EF2EEB" w:rsidRPr="0044508D" w:rsidRDefault="00E57539" w:rsidP="0044508D">
      <w:pPr>
        <w:jc w:val="center"/>
        <w:rPr>
          <w:rFonts w:ascii="Arial" w:hAnsi="Arial" w:cs="Arial"/>
          <w:b/>
          <w:bCs/>
        </w:rPr>
      </w:pPr>
      <w:r w:rsidRPr="0044508D">
        <w:rPr>
          <w:rFonts w:ascii="Arial" w:hAnsi="Arial" w:cs="Arial"/>
          <w:b/>
          <w:bCs/>
        </w:rPr>
        <w:t>Fortalecimiento de la gestión de información territorial y catastral</w:t>
      </w:r>
    </w:p>
    <w:p w14:paraId="0000000F" w14:textId="77777777" w:rsidR="00EF2EEB" w:rsidRDefault="00E57539">
      <w:pPr>
        <w:pStyle w:val="Ttulo1"/>
        <w:spacing w:before="0" w:after="0" w:line="301" w:lineRule="auto"/>
        <w:jc w:val="center"/>
      </w:pPr>
      <w:r>
        <w:rPr>
          <w:rFonts w:ascii="Arial" w:eastAsia="Arial" w:hAnsi="Arial" w:cs="Arial"/>
          <w:b/>
          <w:bCs/>
          <w:color w:val="000000"/>
          <w:sz w:val="24"/>
          <w:szCs w:val="24"/>
        </w:rPr>
        <w:t xml:space="preserve"> </w:t>
      </w:r>
    </w:p>
    <w:p w14:paraId="00000010" w14:textId="77777777" w:rsidR="00EF2EEB" w:rsidRDefault="00EF2EEB">
      <w:pPr>
        <w:pStyle w:val="Ttulo1"/>
        <w:spacing w:before="0" w:after="0" w:line="301" w:lineRule="auto"/>
        <w:jc w:val="center"/>
        <w:rPr>
          <w:rFonts w:ascii="Arial" w:eastAsia="Arial" w:hAnsi="Arial" w:cs="Arial"/>
          <w:b/>
          <w:bCs/>
          <w:color w:val="000000"/>
          <w:sz w:val="24"/>
          <w:szCs w:val="24"/>
        </w:rPr>
      </w:pPr>
    </w:p>
    <w:p w14:paraId="00000011" w14:textId="77777777" w:rsidR="00EF2EEB" w:rsidRDefault="00EF2EEB" w:rsidP="00D7638B"/>
    <w:p w14:paraId="00000012" w14:textId="77777777" w:rsidR="00EF2EEB" w:rsidRDefault="00EF2EEB" w:rsidP="00D7638B"/>
    <w:p w14:paraId="00000013" w14:textId="77777777" w:rsidR="00EF2EEB" w:rsidRDefault="00EF2EEB" w:rsidP="00D7638B"/>
    <w:p w14:paraId="00000014" w14:textId="77777777" w:rsidR="00EF2EEB" w:rsidRDefault="00EF2EEB">
      <w:pPr>
        <w:pStyle w:val="Ttulo1"/>
        <w:spacing w:before="0" w:after="0" w:line="301" w:lineRule="auto"/>
        <w:jc w:val="center"/>
        <w:rPr>
          <w:rFonts w:ascii="Arial" w:eastAsia="Arial" w:hAnsi="Arial" w:cs="Arial"/>
          <w:b/>
          <w:bCs/>
          <w:color w:val="000000"/>
          <w:sz w:val="24"/>
          <w:szCs w:val="24"/>
        </w:rPr>
      </w:pPr>
    </w:p>
    <w:p w14:paraId="00000015" w14:textId="77777777" w:rsidR="00EF2EEB" w:rsidRDefault="00EF2EEB">
      <w:pPr>
        <w:pStyle w:val="Ttulo1"/>
        <w:spacing w:before="0" w:after="0" w:line="301" w:lineRule="auto"/>
        <w:jc w:val="center"/>
        <w:rPr>
          <w:rFonts w:ascii="Arial" w:eastAsia="Arial" w:hAnsi="Arial" w:cs="Arial"/>
          <w:b/>
          <w:bCs/>
          <w:color w:val="000000"/>
          <w:sz w:val="24"/>
          <w:szCs w:val="24"/>
        </w:rPr>
      </w:pPr>
      <w:bookmarkStart w:id="2" w:name="_heading=h.sbhe3u7a24u8" w:colFirst="0" w:colLast="0"/>
      <w:bookmarkEnd w:id="2"/>
    </w:p>
    <w:p w14:paraId="00000016" w14:textId="45CB040F" w:rsidR="00EF2EEB" w:rsidRPr="0044508D" w:rsidRDefault="00E57539" w:rsidP="0044508D">
      <w:pPr>
        <w:jc w:val="center"/>
        <w:rPr>
          <w:rFonts w:ascii="Arial" w:hAnsi="Arial" w:cs="Arial"/>
          <w:b/>
          <w:bCs/>
        </w:rPr>
      </w:pPr>
      <w:r w:rsidRPr="0044508D">
        <w:rPr>
          <w:rFonts w:ascii="Arial" w:hAnsi="Arial" w:cs="Arial"/>
          <w:b/>
          <w:bCs/>
        </w:rPr>
        <w:t>Bogotá, ma</w:t>
      </w:r>
      <w:r w:rsidR="00640FC1" w:rsidRPr="0044508D">
        <w:rPr>
          <w:rFonts w:ascii="Arial" w:hAnsi="Arial" w:cs="Arial"/>
          <w:b/>
          <w:bCs/>
        </w:rPr>
        <w:t>yo</w:t>
      </w:r>
      <w:r w:rsidRPr="0044508D">
        <w:rPr>
          <w:rFonts w:ascii="Arial" w:hAnsi="Arial" w:cs="Arial"/>
          <w:b/>
          <w:bCs/>
        </w:rPr>
        <w:t xml:space="preserve"> 2026</w:t>
      </w:r>
    </w:p>
    <w:p w14:paraId="00000017" w14:textId="77777777" w:rsidR="00EF2EEB" w:rsidRDefault="00EF2EEB">
      <w:pPr>
        <w:pStyle w:val="Ttulo1"/>
        <w:spacing w:before="0" w:after="0" w:line="301" w:lineRule="auto"/>
        <w:jc w:val="center"/>
        <w:rPr>
          <w:rFonts w:ascii="Arial" w:eastAsia="Arial" w:hAnsi="Arial" w:cs="Arial"/>
          <w:b/>
          <w:bCs/>
          <w:color w:val="000000"/>
          <w:sz w:val="24"/>
          <w:szCs w:val="24"/>
        </w:rPr>
      </w:pPr>
    </w:p>
    <w:p w14:paraId="00000018" w14:textId="77777777" w:rsidR="00EF2EEB" w:rsidRDefault="00E57539">
      <w:pPr>
        <w:pStyle w:val="Ttulo1"/>
        <w:spacing w:before="0" w:after="0" w:line="301"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 </w:t>
      </w:r>
    </w:p>
    <w:p w14:paraId="00000019" w14:textId="77777777" w:rsidR="00EF2EEB" w:rsidRDefault="00EF2EEB">
      <w:pPr>
        <w:pStyle w:val="Ttulo1"/>
        <w:spacing w:before="0" w:after="0" w:line="301" w:lineRule="auto"/>
        <w:jc w:val="center"/>
        <w:rPr>
          <w:rFonts w:ascii="Arial" w:eastAsia="Arial" w:hAnsi="Arial" w:cs="Arial"/>
          <w:b/>
          <w:bCs/>
          <w:color w:val="000000"/>
          <w:sz w:val="24"/>
          <w:szCs w:val="24"/>
        </w:rPr>
      </w:pPr>
      <w:bookmarkStart w:id="3" w:name="_heading=h.vvd9pgz01h5b" w:colFirst="0" w:colLast="0"/>
      <w:bookmarkEnd w:id="3"/>
    </w:p>
    <w:p w14:paraId="2A27BE0D" w14:textId="77777777" w:rsidR="006F50F2" w:rsidRPr="006F50F2" w:rsidRDefault="006F50F2" w:rsidP="006F50F2"/>
    <w:p w14:paraId="0000001B" w14:textId="77777777" w:rsidR="00EF2EEB" w:rsidRDefault="00EF2EEB">
      <w:bookmarkStart w:id="4" w:name="_heading=h.abulqfxgyrdy" w:colFirst="0" w:colLast="0"/>
      <w:bookmarkEnd w:id="4"/>
    </w:p>
    <w:p w14:paraId="0000001C" w14:textId="77777777" w:rsidR="00EF2EEB" w:rsidRPr="001B5D02" w:rsidRDefault="00E57539" w:rsidP="0044508D">
      <w:pPr>
        <w:rPr>
          <w:rFonts w:ascii="Arial" w:hAnsi="Arial" w:cs="Arial"/>
          <w:b/>
          <w:bCs/>
        </w:rPr>
      </w:pPr>
      <w:r w:rsidRPr="001B5D02">
        <w:rPr>
          <w:rFonts w:ascii="Arial" w:hAnsi="Arial" w:cs="Arial"/>
          <w:b/>
          <w:bCs/>
        </w:rPr>
        <w:lastRenderedPageBreak/>
        <w:t xml:space="preserve">Public Diisclosure Authorized </w:t>
      </w:r>
    </w:p>
    <w:p w14:paraId="2479EF95" w14:textId="77777777" w:rsidR="00A4411C" w:rsidRPr="001B5D02" w:rsidRDefault="00A4411C" w:rsidP="0044508D">
      <w:pPr>
        <w:rPr>
          <w:rFonts w:ascii="Arial" w:hAnsi="Arial" w:cs="Arial"/>
          <w:b/>
          <w:bCs/>
        </w:rPr>
      </w:pPr>
    </w:p>
    <w:p w14:paraId="00000020" w14:textId="3CF1D4B5" w:rsidR="00EF2EEB" w:rsidRPr="001B5D02" w:rsidRDefault="00E57539" w:rsidP="0044508D">
      <w:pPr>
        <w:rPr>
          <w:rFonts w:ascii="Arial" w:hAnsi="Arial" w:cs="Arial"/>
          <w:b/>
          <w:bCs/>
        </w:rPr>
      </w:pPr>
      <w:r w:rsidRPr="001B5D02">
        <w:rPr>
          <w:rFonts w:ascii="Arial" w:hAnsi="Arial" w:cs="Arial"/>
          <w:b/>
          <w:bCs/>
        </w:rPr>
        <w:t>Departamento Nacional de Planeación DNP</w:t>
      </w:r>
    </w:p>
    <w:p w14:paraId="00000021" w14:textId="77777777" w:rsidR="00EF2EEB" w:rsidRPr="001B5D02" w:rsidRDefault="00E57539" w:rsidP="0044508D">
      <w:pPr>
        <w:rPr>
          <w:rFonts w:ascii="Arial" w:hAnsi="Arial" w:cs="Arial"/>
          <w:b/>
          <w:bCs/>
        </w:rPr>
      </w:pPr>
      <w:r w:rsidRPr="001B5D02">
        <w:rPr>
          <w:rFonts w:ascii="Arial" w:hAnsi="Arial" w:cs="Arial"/>
          <w:b/>
          <w:bCs/>
        </w:rPr>
        <w:t xml:space="preserve">Dirección de Ordenamiento y Desarrollo Territorial </w:t>
      </w:r>
    </w:p>
    <w:p w14:paraId="00000022" w14:textId="77777777" w:rsidR="00EF2EEB" w:rsidRPr="001B5D02" w:rsidRDefault="00EF2EEB" w:rsidP="0044508D">
      <w:pPr>
        <w:rPr>
          <w:rFonts w:ascii="Arial" w:hAnsi="Arial" w:cs="Arial"/>
          <w:b/>
          <w:bCs/>
        </w:rPr>
      </w:pPr>
    </w:p>
    <w:p w14:paraId="00000023" w14:textId="77777777" w:rsidR="00EF2EEB" w:rsidRPr="001B5D02" w:rsidRDefault="00E57539" w:rsidP="0044508D">
      <w:pPr>
        <w:rPr>
          <w:rFonts w:ascii="Arial" w:hAnsi="Arial" w:cs="Arial"/>
          <w:b/>
          <w:bCs/>
        </w:rPr>
      </w:pPr>
      <w:r w:rsidRPr="001B5D02">
        <w:rPr>
          <w:rFonts w:ascii="Arial" w:hAnsi="Arial" w:cs="Arial"/>
          <w:b/>
          <w:bCs/>
        </w:rPr>
        <w:t>Banco Mundial-</w:t>
      </w:r>
    </w:p>
    <w:p w14:paraId="00000024" w14:textId="77777777" w:rsidR="00EF2EEB" w:rsidRPr="001B5D02" w:rsidRDefault="00E57539" w:rsidP="0044508D">
      <w:pPr>
        <w:rPr>
          <w:rFonts w:ascii="Arial" w:hAnsi="Arial" w:cs="Arial"/>
          <w:b/>
          <w:bCs/>
          <w:color w:val="231F20"/>
        </w:rPr>
      </w:pPr>
      <w:r w:rsidRPr="001B5D02">
        <w:rPr>
          <w:rFonts w:ascii="Arial" w:hAnsi="Arial" w:cs="Arial"/>
          <w:b/>
          <w:bCs/>
        </w:rPr>
        <w:t>Ivonne Astrid Moreno Horta,</w:t>
      </w:r>
      <w:r w:rsidRPr="001B5D02">
        <w:rPr>
          <w:rFonts w:ascii="Arial" w:hAnsi="Arial" w:cs="Arial"/>
          <w:b/>
          <w:bCs/>
          <w:color w:val="231F20"/>
        </w:rPr>
        <w:t xml:space="preserve"> Especialista Senior Administración de Tierras</w:t>
      </w:r>
    </w:p>
    <w:p w14:paraId="00000025" w14:textId="7E160FA4" w:rsidR="00EF2EEB" w:rsidRPr="001B5D02" w:rsidRDefault="00E57539" w:rsidP="0044508D">
      <w:pPr>
        <w:rPr>
          <w:rFonts w:ascii="Arial" w:hAnsi="Arial" w:cs="Arial"/>
          <w:b/>
          <w:bCs/>
          <w:color w:val="231F20"/>
        </w:rPr>
      </w:pPr>
      <w:r w:rsidRPr="001B5D02">
        <w:rPr>
          <w:rFonts w:ascii="Arial" w:hAnsi="Arial" w:cs="Arial"/>
          <w:b/>
          <w:bCs/>
        </w:rPr>
        <w:t xml:space="preserve">Carolina Londoño Araque, </w:t>
      </w:r>
      <w:r w:rsidRPr="001B5D02">
        <w:rPr>
          <w:rFonts w:ascii="Arial" w:hAnsi="Arial" w:cs="Arial"/>
          <w:b/>
          <w:bCs/>
          <w:color w:val="231F20"/>
        </w:rPr>
        <w:t xml:space="preserve">Coordinadora </w:t>
      </w:r>
      <w:r w:rsidR="00A6113C">
        <w:rPr>
          <w:rFonts w:ascii="Arial" w:hAnsi="Arial" w:cs="Arial"/>
          <w:b/>
          <w:bCs/>
          <w:color w:val="231F20"/>
        </w:rPr>
        <w:t>Operativa y Administrativa</w:t>
      </w:r>
      <w:r w:rsidRPr="001B5D02">
        <w:rPr>
          <w:rFonts w:ascii="Arial" w:hAnsi="Arial" w:cs="Arial"/>
          <w:b/>
          <w:bCs/>
          <w:color w:val="231F20"/>
        </w:rPr>
        <w:t xml:space="preserve"> CiuData+</w:t>
      </w:r>
    </w:p>
    <w:p w14:paraId="00000026" w14:textId="77777777" w:rsidR="00EF2EEB" w:rsidRPr="001B5D02" w:rsidRDefault="00E57539" w:rsidP="0044508D">
      <w:pPr>
        <w:rPr>
          <w:rFonts w:ascii="Arial" w:hAnsi="Arial" w:cs="Arial"/>
          <w:b/>
          <w:bCs/>
          <w:color w:val="231F20"/>
        </w:rPr>
      </w:pPr>
      <w:r w:rsidRPr="001B5D02">
        <w:rPr>
          <w:rFonts w:ascii="Arial" w:hAnsi="Arial" w:cs="Arial"/>
          <w:b/>
          <w:bCs/>
        </w:rPr>
        <w:t xml:space="preserve">Jorge Augusto Bonil Cubides, </w:t>
      </w:r>
      <w:r w:rsidRPr="001B5D02">
        <w:rPr>
          <w:rFonts w:ascii="Arial" w:hAnsi="Arial" w:cs="Arial"/>
          <w:b/>
          <w:bCs/>
          <w:color w:val="231F20"/>
        </w:rPr>
        <w:t>Coordinador Técnico Programa CiuData+</w:t>
      </w:r>
    </w:p>
    <w:p w14:paraId="00000027" w14:textId="77777777" w:rsidR="00EF2EEB" w:rsidRPr="001B5D02" w:rsidRDefault="00E57539" w:rsidP="0044508D">
      <w:pPr>
        <w:rPr>
          <w:rFonts w:ascii="Arial" w:hAnsi="Arial" w:cs="Arial"/>
          <w:b/>
          <w:bCs/>
        </w:rPr>
      </w:pPr>
      <w:r w:rsidRPr="001B5D02">
        <w:rPr>
          <w:rFonts w:ascii="Arial" w:hAnsi="Arial" w:cs="Arial"/>
          <w:b/>
          <w:bCs/>
        </w:rPr>
        <w:t xml:space="preserve"> </w:t>
      </w:r>
    </w:p>
    <w:p w14:paraId="00000028" w14:textId="77777777" w:rsidR="00EF2EEB" w:rsidRPr="001B5D02" w:rsidRDefault="00E57539" w:rsidP="0044508D">
      <w:pPr>
        <w:rPr>
          <w:rFonts w:ascii="Arial" w:hAnsi="Arial" w:cs="Arial"/>
          <w:b/>
          <w:bCs/>
        </w:rPr>
      </w:pPr>
      <w:r w:rsidRPr="001B5D02">
        <w:rPr>
          <w:rFonts w:ascii="Arial" w:hAnsi="Arial" w:cs="Arial"/>
          <w:b/>
          <w:bCs/>
        </w:rPr>
        <w:t>Coordinación y edición:</w:t>
      </w:r>
    </w:p>
    <w:p w14:paraId="00000029" w14:textId="28CE87AA" w:rsidR="00EF2EEB" w:rsidRPr="001B5D02" w:rsidRDefault="00E57539" w:rsidP="0044508D">
      <w:pPr>
        <w:rPr>
          <w:rFonts w:ascii="Arial" w:hAnsi="Arial" w:cs="Arial"/>
          <w:b/>
          <w:bCs/>
          <w:color w:val="231F20"/>
        </w:rPr>
      </w:pPr>
      <w:r w:rsidRPr="001B5D02">
        <w:rPr>
          <w:rFonts w:ascii="Arial" w:hAnsi="Arial" w:cs="Arial"/>
          <w:b/>
          <w:bCs/>
        </w:rPr>
        <w:t xml:space="preserve">Jorge Augusto </w:t>
      </w:r>
      <w:r w:rsidR="00A4411C" w:rsidRPr="001B5D02">
        <w:rPr>
          <w:rFonts w:ascii="Arial" w:hAnsi="Arial" w:cs="Arial"/>
          <w:b/>
          <w:bCs/>
        </w:rPr>
        <w:t>Bonil,</w:t>
      </w:r>
      <w:r w:rsidRPr="001B5D02">
        <w:rPr>
          <w:rFonts w:ascii="Arial" w:hAnsi="Arial" w:cs="Arial"/>
          <w:b/>
          <w:bCs/>
        </w:rPr>
        <w:t xml:space="preserve"> </w:t>
      </w:r>
      <w:r w:rsidRPr="001B5D02">
        <w:rPr>
          <w:rFonts w:ascii="Arial" w:hAnsi="Arial" w:cs="Arial"/>
          <w:b/>
          <w:bCs/>
          <w:color w:val="231F20"/>
        </w:rPr>
        <w:t>Coordinador Técnico Programa CiuData+</w:t>
      </w:r>
    </w:p>
    <w:p w14:paraId="0000002A" w14:textId="77777777" w:rsidR="00EF2EEB" w:rsidRPr="001B5D02" w:rsidRDefault="00E57539" w:rsidP="0044508D">
      <w:pPr>
        <w:rPr>
          <w:rFonts w:ascii="Arial" w:hAnsi="Arial" w:cs="Arial"/>
          <w:b/>
          <w:bCs/>
        </w:rPr>
      </w:pPr>
      <w:r w:rsidRPr="001B5D02">
        <w:rPr>
          <w:rFonts w:ascii="Arial" w:hAnsi="Arial" w:cs="Arial"/>
          <w:b/>
          <w:bCs/>
        </w:rPr>
        <w:t xml:space="preserve"> </w:t>
      </w:r>
    </w:p>
    <w:p w14:paraId="0000002B" w14:textId="77777777" w:rsidR="00EF2EEB" w:rsidRPr="001B5D02" w:rsidRDefault="00E57539" w:rsidP="0044508D">
      <w:pPr>
        <w:rPr>
          <w:rFonts w:ascii="Arial" w:hAnsi="Arial" w:cs="Arial"/>
          <w:b/>
          <w:bCs/>
        </w:rPr>
      </w:pPr>
      <w:r w:rsidRPr="001B5D02">
        <w:rPr>
          <w:rFonts w:ascii="Arial" w:hAnsi="Arial" w:cs="Arial"/>
          <w:b/>
          <w:bCs/>
        </w:rPr>
        <w:t xml:space="preserve">Investigación y elaboración: </w:t>
      </w:r>
    </w:p>
    <w:p w14:paraId="0000002C" w14:textId="25CC96A6" w:rsidR="00EF2EEB" w:rsidRPr="001B5D02" w:rsidRDefault="00E57539" w:rsidP="0044508D">
      <w:pPr>
        <w:rPr>
          <w:rFonts w:ascii="Arial" w:hAnsi="Arial" w:cs="Arial"/>
          <w:b/>
          <w:bCs/>
          <w:color w:val="231F20"/>
        </w:rPr>
      </w:pPr>
      <w:r w:rsidRPr="001B5D02">
        <w:rPr>
          <w:rFonts w:ascii="Arial" w:hAnsi="Arial" w:cs="Arial"/>
          <w:b/>
          <w:bCs/>
          <w:color w:val="231F20"/>
        </w:rPr>
        <w:t xml:space="preserve">Marcela </w:t>
      </w:r>
      <w:r w:rsidR="002E7A67" w:rsidRPr="001B5D02">
        <w:rPr>
          <w:rFonts w:ascii="Arial" w:hAnsi="Arial" w:cs="Arial"/>
          <w:b/>
          <w:bCs/>
          <w:color w:val="231F20"/>
        </w:rPr>
        <w:t>Pantoja Lucena</w:t>
      </w:r>
      <w:r w:rsidRPr="001B5D02">
        <w:rPr>
          <w:rFonts w:ascii="Arial" w:hAnsi="Arial" w:cs="Arial"/>
          <w:b/>
          <w:bCs/>
          <w:color w:val="231F20"/>
        </w:rPr>
        <w:t>, Consultora Jurídica</w:t>
      </w:r>
    </w:p>
    <w:p w14:paraId="0000002D" w14:textId="34BC256A" w:rsidR="00EF2EEB" w:rsidRPr="001B5D02" w:rsidRDefault="00E57539" w:rsidP="0044508D">
      <w:pPr>
        <w:rPr>
          <w:rFonts w:ascii="Arial" w:hAnsi="Arial" w:cs="Arial"/>
          <w:b/>
          <w:bCs/>
          <w:color w:val="231F20"/>
        </w:rPr>
      </w:pPr>
      <w:r w:rsidRPr="001B5D02">
        <w:rPr>
          <w:rFonts w:ascii="Arial" w:hAnsi="Arial" w:cs="Arial"/>
          <w:b/>
          <w:bCs/>
          <w:color w:val="231F20"/>
        </w:rPr>
        <w:t>Paola  Andrea Otoya Leguizamón, Consultora Jurídica</w:t>
      </w:r>
    </w:p>
    <w:p w14:paraId="0000002E" w14:textId="77777777" w:rsidR="00EF2EEB" w:rsidRPr="001B5D02" w:rsidRDefault="00E57539" w:rsidP="0044508D">
      <w:pPr>
        <w:rPr>
          <w:rFonts w:ascii="Arial" w:hAnsi="Arial" w:cs="Arial"/>
          <w:b/>
          <w:bCs/>
          <w:color w:val="231F20"/>
        </w:rPr>
      </w:pPr>
      <w:r w:rsidRPr="001B5D02">
        <w:rPr>
          <w:rFonts w:ascii="Arial" w:hAnsi="Arial" w:cs="Arial"/>
          <w:b/>
          <w:bCs/>
          <w:color w:val="231F20"/>
        </w:rPr>
        <w:t>Hans Rene Saenz, Consultor Catastral</w:t>
      </w:r>
    </w:p>
    <w:p w14:paraId="0000002F" w14:textId="77777777" w:rsidR="00EF2EEB" w:rsidRPr="001B5D02" w:rsidRDefault="00E57539" w:rsidP="0044508D">
      <w:pPr>
        <w:rPr>
          <w:rFonts w:ascii="Arial" w:hAnsi="Arial" w:cs="Arial"/>
          <w:b/>
          <w:bCs/>
          <w:color w:val="231F20"/>
        </w:rPr>
      </w:pPr>
      <w:r w:rsidRPr="001B5D02">
        <w:rPr>
          <w:rFonts w:ascii="Arial" w:hAnsi="Arial" w:cs="Arial"/>
          <w:b/>
          <w:bCs/>
          <w:color w:val="231F20"/>
        </w:rPr>
        <w:t xml:space="preserve"> </w:t>
      </w:r>
    </w:p>
    <w:p w14:paraId="00000030" w14:textId="77777777" w:rsidR="00EF2EEB" w:rsidRPr="001B5D02" w:rsidRDefault="00E57539" w:rsidP="0044508D">
      <w:pPr>
        <w:rPr>
          <w:rFonts w:ascii="Arial" w:hAnsi="Arial" w:cs="Arial"/>
          <w:b/>
          <w:bCs/>
          <w:color w:val="231F20"/>
        </w:rPr>
      </w:pPr>
      <w:r w:rsidRPr="001B5D02">
        <w:rPr>
          <w:rFonts w:ascii="Arial" w:hAnsi="Arial" w:cs="Arial"/>
          <w:b/>
          <w:bCs/>
          <w:color w:val="231F20"/>
        </w:rPr>
        <w:t>Revisión técnica:</w:t>
      </w:r>
    </w:p>
    <w:p w14:paraId="00000031" w14:textId="30F423D5" w:rsidR="00EF2EEB" w:rsidRPr="001B5D02" w:rsidRDefault="00E57539" w:rsidP="0044508D">
      <w:pPr>
        <w:rPr>
          <w:rFonts w:ascii="Arial" w:hAnsi="Arial" w:cs="Arial"/>
          <w:b/>
          <w:bCs/>
          <w:color w:val="231F20"/>
        </w:rPr>
      </w:pPr>
      <w:r w:rsidRPr="001B5D02">
        <w:rPr>
          <w:rFonts w:ascii="Arial" w:hAnsi="Arial" w:cs="Arial"/>
          <w:b/>
          <w:bCs/>
        </w:rPr>
        <w:t xml:space="preserve">Jorge Augusto Bonil, </w:t>
      </w:r>
      <w:r w:rsidRPr="001B5D02">
        <w:rPr>
          <w:rFonts w:ascii="Arial" w:hAnsi="Arial" w:cs="Arial"/>
          <w:b/>
          <w:bCs/>
          <w:color w:val="231F20"/>
        </w:rPr>
        <w:t>Coordinador Técnico Programa CiuData+</w:t>
      </w:r>
    </w:p>
    <w:p w14:paraId="00000032" w14:textId="77777777" w:rsidR="00EF2EEB" w:rsidRPr="001B5D02" w:rsidRDefault="00E57539" w:rsidP="0044508D">
      <w:pPr>
        <w:rPr>
          <w:rFonts w:ascii="Arial" w:hAnsi="Arial" w:cs="Arial"/>
          <w:b/>
          <w:bCs/>
        </w:rPr>
      </w:pPr>
      <w:r w:rsidRPr="001B5D02">
        <w:rPr>
          <w:rFonts w:ascii="Arial" w:hAnsi="Arial" w:cs="Arial"/>
          <w:b/>
          <w:bCs/>
        </w:rPr>
        <w:t xml:space="preserve"> </w:t>
      </w:r>
    </w:p>
    <w:p w14:paraId="00000033" w14:textId="77777777" w:rsidR="00EF2EEB" w:rsidRPr="001B5D02" w:rsidRDefault="00E57539" w:rsidP="0044508D">
      <w:pPr>
        <w:rPr>
          <w:rFonts w:ascii="Arial" w:hAnsi="Arial" w:cs="Arial"/>
          <w:b/>
          <w:bCs/>
          <w:color w:val="231F20"/>
        </w:rPr>
      </w:pPr>
      <w:r w:rsidRPr="001B5D02">
        <w:rPr>
          <w:rFonts w:ascii="Arial" w:hAnsi="Arial" w:cs="Arial"/>
          <w:b/>
          <w:bCs/>
          <w:color w:val="231F20"/>
        </w:rPr>
        <w:t>Edición, diseño y diagramación:</w:t>
      </w:r>
    </w:p>
    <w:p w14:paraId="00000034" w14:textId="77777777" w:rsidR="00EF2EEB" w:rsidRPr="001B5D02" w:rsidRDefault="00E57539" w:rsidP="0044508D">
      <w:pPr>
        <w:rPr>
          <w:rFonts w:ascii="Arial" w:hAnsi="Arial" w:cs="Arial"/>
          <w:b/>
          <w:bCs/>
          <w:color w:val="FF0000"/>
        </w:rPr>
      </w:pPr>
      <w:r w:rsidRPr="001B5D02">
        <w:rPr>
          <w:rFonts w:ascii="Arial" w:hAnsi="Arial" w:cs="Arial"/>
          <w:b/>
          <w:bCs/>
          <w:color w:val="FF0000"/>
        </w:rPr>
        <w:t>XXXXXXXXXXX</w:t>
      </w:r>
    </w:p>
    <w:p w14:paraId="00000035" w14:textId="77777777" w:rsidR="00EF2EEB" w:rsidRPr="001B5D02" w:rsidRDefault="00E57539" w:rsidP="0044508D">
      <w:pPr>
        <w:rPr>
          <w:rFonts w:ascii="Arial" w:hAnsi="Arial" w:cs="Arial"/>
          <w:b/>
          <w:bCs/>
        </w:rPr>
      </w:pPr>
      <w:r w:rsidRPr="001B5D02">
        <w:rPr>
          <w:rFonts w:ascii="Arial" w:hAnsi="Arial" w:cs="Arial"/>
          <w:b/>
          <w:bCs/>
        </w:rPr>
        <w:lastRenderedPageBreak/>
        <w:t xml:space="preserve"> </w:t>
      </w:r>
    </w:p>
    <w:p w14:paraId="00000036" w14:textId="77777777" w:rsidR="00EF2EEB" w:rsidRPr="001B5D02" w:rsidRDefault="00E57539" w:rsidP="0044508D">
      <w:pPr>
        <w:rPr>
          <w:rFonts w:ascii="Arial" w:hAnsi="Arial" w:cs="Arial"/>
          <w:b/>
          <w:bCs/>
          <w:color w:val="231F20"/>
        </w:rPr>
      </w:pPr>
      <w:r w:rsidRPr="001B5D02">
        <w:rPr>
          <w:rFonts w:ascii="Arial" w:hAnsi="Arial" w:cs="Arial"/>
          <w:b/>
          <w:bCs/>
          <w:color w:val="231F20"/>
        </w:rPr>
        <w:t xml:space="preserve">El documento virtual podrá ser encontrado en: </w:t>
      </w:r>
    </w:p>
    <w:p w14:paraId="00000037" w14:textId="77777777" w:rsidR="00EF2EEB" w:rsidRPr="00FE33D6" w:rsidRDefault="00E57539" w:rsidP="0044508D">
      <w:pPr>
        <w:rPr>
          <w:rFonts w:ascii="Arial" w:hAnsi="Arial" w:cs="Arial"/>
          <w:b/>
          <w:bCs/>
          <w:color w:val="FF0000"/>
          <w:u w:val="single"/>
          <w:lang w:val="en-US"/>
        </w:rPr>
      </w:pPr>
      <w:hyperlink r:id="rId11">
        <w:r w:rsidRPr="00FE33D6">
          <w:rPr>
            <w:rFonts w:ascii="Arial" w:hAnsi="Arial" w:cs="Arial"/>
            <w:b/>
            <w:bCs/>
            <w:color w:val="FF0000"/>
            <w:u w:val="single"/>
            <w:lang w:val="en-US"/>
          </w:rPr>
          <w:t>https://www.xxxxxxxxxxxxxxxxxxxxx</w:t>
        </w:r>
      </w:hyperlink>
    </w:p>
    <w:p w14:paraId="00000038" w14:textId="77777777" w:rsidR="00EF2EEB" w:rsidRPr="00FE33D6" w:rsidRDefault="00E57539" w:rsidP="0044508D">
      <w:pPr>
        <w:rPr>
          <w:rFonts w:ascii="Arial" w:hAnsi="Arial" w:cs="Arial"/>
          <w:b/>
          <w:bCs/>
          <w:lang w:val="en-US"/>
        </w:rPr>
      </w:pPr>
      <w:r w:rsidRPr="00FE33D6">
        <w:rPr>
          <w:rFonts w:ascii="Arial" w:hAnsi="Arial" w:cs="Arial"/>
          <w:b/>
          <w:bCs/>
          <w:lang w:val="en-US"/>
        </w:rPr>
        <w:t xml:space="preserve"> </w:t>
      </w:r>
    </w:p>
    <w:p w14:paraId="00000039" w14:textId="77777777" w:rsidR="00EF2EEB" w:rsidRPr="00FE33D6" w:rsidRDefault="00E57539" w:rsidP="0044508D">
      <w:pPr>
        <w:rPr>
          <w:rFonts w:ascii="Arial" w:hAnsi="Arial" w:cs="Arial"/>
          <w:b/>
          <w:bCs/>
          <w:lang w:val="en-US"/>
        </w:rPr>
      </w:pPr>
      <w:r w:rsidRPr="00FE33D6">
        <w:rPr>
          <w:rFonts w:ascii="Arial" w:hAnsi="Arial" w:cs="Arial"/>
          <w:b/>
          <w:bCs/>
          <w:lang w:val="en-US"/>
        </w:rPr>
        <w:t xml:space="preserve">Copyright © 2026 The World Bank </w:t>
      </w:r>
    </w:p>
    <w:p w14:paraId="0000003A" w14:textId="77777777" w:rsidR="00EF2EEB" w:rsidRPr="00FE33D6" w:rsidRDefault="00E57539" w:rsidP="0044508D">
      <w:pPr>
        <w:rPr>
          <w:rFonts w:ascii="Arial" w:hAnsi="Arial" w:cs="Arial"/>
          <w:b/>
          <w:bCs/>
          <w:lang w:val="en-US"/>
        </w:rPr>
      </w:pPr>
      <w:r w:rsidRPr="00FE33D6">
        <w:rPr>
          <w:rFonts w:ascii="Arial" w:hAnsi="Arial" w:cs="Arial"/>
          <w:b/>
          <w:bCs/>
          <w:lang w:val="en-US"/>
        </w:rPr>
        <w:t>1818 H Street NW, Washington DC 20433</w:t>
      </w:r>
    </w:p>
    <w:p w14:paraId="0000003B" w14:textId="77777777" w:rsidR="00EF2EEB" w:rsidRPr="001B5D02" w:rsidRDefault="00E57539" w:rsidP="0044508D">
      <w:pPr>
        <w:rPr>
          <w:rFonts w:ascii="Arial" w:hAnsi="Arial" w:cs="Arial"/>
          <w:b/>
          <w:bCs/>
        </w:rPr>
      </w:pPr>
      <w:bookmarkStart w:id="5" w:name="_heading=h.dhhr1l5h7yjk" w:colFirst="0" w:colLast="0"/>
      <w:bookmarkEnd w:id="5"/>
      <w:r w:rsidRPr="001B5D02">
        <w:rPr>
          <w:rFonts w:ascii="Arial" w:hAnsi="Arial" w:cs="Arial"/>
          <w:b/>
          <w:bCs/>
        </w:rPr>
        <w:t>Telephone: 202-473-1000; internet: www. Worldbank.org</w:t>
      </w:r>
    </w:p>
    <w:p w14:paraId="0000003C" w14:textId="77777777" w:rsidR="00EF2EEB" w:rsidRPr="001B5D02" w:rsidRDefault="00E57539">
      <w:pPr>
        <w:pStyle w:val="Ttulo1"/>
        <w:spacing w:before="0" w:after="0" w:line="301" w:lineRule="auto"/>
        <w:rPr>
          <w:rFonts w:ascii="Arial" w:eastAsia="Arial" w:hAnsi="Arial" w:cs="Arial"/>
          <w:b/>
          <w:bCs/>
          <w:color w:val="000000"/>
          <w:sz w:val="24"/>
          <w:szCs w:val="24"/>
        </w:rPr>
      </w:pPr>
      <w:bookmarkStart w:id="6" w:name="_heading=h.ncw0j5mvsx28" w:colFirst="0" w:colLast="0"/>
      <w:bookmarkEnd w:id="6"/>
      <w:r w:rsidRPr="001B5D02">
        <w:rPr>
          <w:rFonts w:ascii="Arial" w:eastAsia="Arial" w:hAnsi="Arial" w:cs="Arial"/>
          <w:b/>
          <w:bCs/>
          <w:color w:val="000000"/>
          <w:sz w:val="24"/>
          <w:szCs w:val="24"/>
        </w:rPr>
        <w:t xml:space="preserve"> </w:t>
      </w:r>
    </w:p>
    <w:p w14:paraId="0000003D" w14:textId="7EF301F8" w:rsidR="00EF2EEB" w:rsidRPr="001B5D02" w:rsidRDefault="00E57539" w:rsidP="00782D1D">
      <w:pPr>
        <w:jc w:val="both"/>
        <w:rPr>
          <w:rFonts w:ascii="Arial" w:hAnsi="Arial" w:cs="Arial"/>
          <w:b/>
          <w:bCs/>
          <w:sz w:val="22"/>
          <w:szCs w:val="22"/>
        </w:rPr>
      </w:pPr>
      <w:bookmarkStart w:id="7" w:name="_heading=h.rvq87ls98xpz" w:colFirst="0" w:colLast="0"/>
      <w:bookmarkEnd w:id="7"/>
      <w:r w:rsidRPr="001B5D02">
        <w:rPr>
          <w:rFonts w:ascii="Arial" w:hAnsi="Arial" w:cs="Arial"/>
          <w:b/>
          <w:bCs/>
          <w:sz w:val="22"/>
          <w:szCs w:val="22"/>
        </w:rPr>
        <w:t xml:space="preserve">Los hallazgos, interpretaciones y conclusiones expresados ​​en esta publicación no deben atribuirse de ninguna manera al Banco Mundial. El material de esta obra está protegido por derechos de autor. La copia o transmisión, total o parcial, de esta obra puede constituir una infracción de la legislación aplicable. El Banco Mundial, </w:t>
      </w:r>
      <w:r w:rsidR="00E8676D" w:rsidRPr="001B5D02">
        <w:rPr>
          <w:rFonts w:ascii="Arial" w:hAnsi="Arial" w:cs="Arial"/>
          <w:b/>
          <w:bCs/>
          <w:sz w:val="22"/>
          <w:szCs w:val="22"/>
        </w:rPr>
        <w:t>SECO</w:t>
      </w:r>
      <w:r w:rsidRPr="001B5D02">
        <w:rPr>
          <w:rFonts w:ascii="Arial" w:hAnsi="Arial" w:cs="Arial"/>
          <w:b/>
          <w:bCs/>
          <w:sz w:val="22"/>
          <w:szCs w:val="22"/>
        </w:rPr>
        <w:t xml:space="preserve"> y </w:t>
      </w:r>
      <w:r w:rsidR="000F0DD1" w:rsidRPr="001B5D02">
        <w:rPr>
          <w:rFonts w:ascii="Arial" w:hAnsi="Arial" w:cs="Arial"/>
          <w:b/>
          <w:bCs/>
          <w:sz w:val="22"/>
          <w:szCs w:val="22"/>
        </w:rPr>
        <w:t xml:space="preserve">el </w:t>
      </w:r>
      <w:r w:rsidRPr="001B5D02">
        <w:rPr>
          <w:rFonts w:ascii="Arial" w:hAnsi="Arial" w:cs="Arial"/>
          <w:b/>
          <w:bCs/>
          <w:sz w:val="22"/>
          <w:szCs w:val="22"/>
        </w:rPr>
        <w:t xml:space="preserve">Departamento Nacional de Planeación </w:t>
      </w:r>
      <w:r w:rsidR="00E8676D" w:rsidRPr="001B5D02">
        <w:rPr>
          <w:rFonts w:ascii="Arial" w:hAnsi="Arial" w:cs="Arial"/>
          <w:b/>
          <w:bCs/>
          <w:sz w:val="22"/>
          <w:szCs w:val="22"/>
        </w:rPr>
        <w:t>DNP, fomentan</w:t>
      </w:r>
      <w:r w:rsidRPr="001B5D02">
        <w:rPr>
          <w:rFonts w:ascii="Arial" w:hAnsi="Arial" w:cs="Arial"/>
          <w:b/>
          <w:bCs/>
          <w:sz w:val="22"/>
          <w:szCs w:val="22"/>
        </w:rPr>
        <w:t xml:space="preserve"> la difusión de esta publicación y autorizan al usuario a copiar partes de la misma para su uso personal y no comercial, sin derecho alguno a revenderla, redistribuirla ni crear obras derivadas. Cualquier otra copia o uso de esta obra requiere el permiso expreso por escrito del Banco Mundial.  </w:t>
      </w:r>
    </w:p>
    <w:p w14:paraId="0000003E" w14:textId="77777777" w:rsidR="00EF2EEB" w:rsidRPr="001B5D02" w:rsidRDefault="00E57539">
      <w:pPr>
        <w:pStyle w:val="Ttulo1"/>
        <w:spacing w:before="0" w:after="160" w:line="301" w:lineRule="auto"/>
        <w:jc w:val="center"/>
        <w:rPr>
          <w:rFonts w:ascii="Arial" w:eastAsia="Arial" w:hAnsi="Arial" w:cs="Arial"/>
          <w:b/>
          <w:bCs/>
          <w:color w:val="000000"/>
          <w:sz w:val="24"/>
          <w:szCs w:val="24"/>
        </w:rPr>
      </w:pPr>
      <w:r w:rsidRPr="001B5D02">
        <w:rPr>
          <w:rFonts w:ascii="Arial" w:eastAsia="Arial" w:hAnsi="Arial" w:cs="Arial"/>
          <w:b/>
          <w:bCs/>
          <w:color w:val="000000"/>
          <w:sz w:val="24"/>
          <w:szCs w:val="24"/>
        </w:rPr>
        <w:t xml:space="preserve"> </w:t>
      </w:r>
    </w:p>
    <w:p w14:paraId="0000003F" w14:textId="77777777" w:rsidR="00EF2EEB" w:rsidRDefault="00EF2EEB">
      <w:pPr>
        <w:pStyle w:val="Ttulo1"/>
        <w:spacing w:before="0" w:after="160" w:line="301" w:lineRule="auto"/>
        <w:jc w:val="center"/>
        <w:rPr>
          <w:rFonts w:ascii="Arial" w:eastAsia="Arial" w:hAnsi="Arial" w:cs="Arial"/>
          <w:b/>
          <w:bCs/>
          <w:color w:val="000000"/>
          <w:sz w:val="24"/>
          <w:szCs w:val="24"/>
        </w:rPr>
      </w:pPr>
      <w:bookmarkStart w:id="8" w:name="_heading=h.9g1dldniotmt" w:colFirst="0" w:colLast="0"/>
      <w:bookmarkEnd w:id="8"/>
    </w:p>
    <w:p w14:paraId="00000040" w14:textId="77777777" w:rsidR="00EF2EEB" w:rsidRDefault="00EF2EEB"/>
    <w:p w14:paraId="0A80E79F" w14:textId="77777777" w:rsidR="00BB22F2" w:rsidRDefault="00BB22F2"/>
    <w:p w14:paraId="26E8D70A" w14:textId="77777777" w:rsidR="00BB22F2" w:rsidRDefault="00BB22F2"/>
    <w:p w14:paraId="6B456C94" w14:textId="77777777" w:rsidR="00BB22F2" w:rsidRDefault="00BB22F2"/>
    <w:p w14:paraId="00000041" w14:textId="77777777" w:rsidR="00EF2EEB" w:rsidRDefault="00EF2EEB"/>
    <w:p w14:paraId="00000042" w14:textId="77777777" w:rsidR="00EF2EEB" w:rsidRDefault="00EF2EEB">
      <w:pPr>
        <w:spacing w:after="0" w:line="240" w:lineRule="auto"/>
        <w:rPr>
          <w:rFonts w:ascii="Times New Roman" w:eastAsia="Times New Roman" w:hAnsi="Times New Roman" w:cs="Times New Roman"/>
        </w:rPr>
      </w:pPr>
      <w:bookmarkStart w:id="9" w:name="_heading=h.c9lwq229usnb" w:colFirst="0" w:colLast="0"/>
      <w:bookmarkEnd w:id="9"/>
    </w:p>
    <w:sdt>
      <w:sdtPr>
        <w:rPr>
          <w:rFonts w:ascii="Aptos" w:eastAsia="Aptos" w:hAnsi="Aptos" w:cs="Aptos"/>
          <w:color w:val="auto"/>
          <w:sz w:val="24"/>
          <w:szCs w:val="24"/>
          <w:lang w:val="es-CO"/>
        </w:rPr>
        <w:id w:val="-936058364"/>
        <w:docPartObj>
          <w:docPartGallery w:val="Table of Contents"/>
          <w:docPartUnique/>
        </w:docPartObj>
      </w:sdtPr>
      <w:sdtEndPr>
        <w:rPr>
          <w:b/>
          <w:bCs/>
        </w:rPr>
      </w:sdtEndPr>
      <w:sdtContent>
        <w:p w14:paraId="3A644931" w14:textId="17DFFDDF" w:rsidR="00BB22F2" w:rsidRPr="000F7BB6" w:rsidRDefault="000F7BB6" w:rsidP="00D21BCA">
          <w:pPr>
            <w:pStyle w:val="TtuloTDC"/>
            <w:rPr>
              <w:rFonts w:ascii="Arial" w:hAnsi="Arial" w:cs="Arial"/>
              <w:b/>
              <w:bCs/>
              <w:color w:val="auto"/>
              <w:sz w:val="24"/>
              <w:szCs w:val="24"/>
            </w:rPr>
          </w:pPr>
          <w:r w:rsidRPr="000F7BB6">
            <w:rPr>
              <w:rFonts w:ascii="Arial" w:hAnsi="Arial" w:cs="Arial"/>
              <w:b/>
              <w:bCs/>
              <w:color w:val="auto"/>
              <w:sz w:val="24"/>
              <w:szCs w:val="24"/>
            </w:rPr>
            <w:t>Tabla de c</w:t>
          </w:r>
          <w:r w:rsidR="00BA693C" w:rsidRPr="000F7BB6">
            <w:rPr>
              <w:rFonts w:ascii="Arial" w:hAnsi="Arial" w:cs="Arial"/>
              <w:b/>
              <w:bCs/>
              <w:color w:val="auto"/>
              <w:sz w:val="24"/>
              <w:szCs w:val="24"/>
            </w:rPr>
            <w:t>ontenido</w:t>
          </w:r>
        </w:p>
        <w:p w14:paraId="7C672461" w14:textId="61635297" w:rsidR="00D04F7C" w:rsidRPr="00BB22F2" w:rsidRDefault="00BA693C" w:rsidP="00D21BCA">
          <w:pPr>
            <w:pStyle w:val="TtuloTDC"/>
            <w:rPr>
              <w:rFonts w:ascii="Arial" w:eastAsiaTheme="minorEastAsia" w:hAnsi="Arial" w:cs="Arial"/>
              <w:b/>
              <w:bCs/>
              <w:noProof/>
              <w:color w:val="auto"/>
              <w:kern w:val="2"/>
              <w:sz w:val="24"/>
              <w:szCs w:val="24"/>
              <w14:ligatures w14:val="standardContextual"/>
            </w:rPr>
          </w:pPr>
          <w:r w:rsidRPr="00BB22F2">
            <w:rPr>
              <w:rFonts w:ascii="Arial" w:hAnsi="Arial" w:cs="Arial"/>
              <w:b/>
              <w:bCs/>
              <w:color w:val="auto"/>
              <w:sz w:val="24"/>
              <w:szCs w:val="24"/>
            </w:rPr>
            <w:fldChar w:fldCharType="begin"/>
          </w:r>
          <w:r w:rsidRPr="00BB22F2">
            <w:rPr>
              <w:rFonts w:ascii="Arial" w:hAnsi="Arial" w:cs="Arial"/>
              <w:b/>
              <w:bCs/>
              <w:color w:val="auto"/>
              <w:sz w:val="24"/>
              <w:szCs w:val="24"/>
            </w:rPr>
            <w:instrText xml:space="preserve"> TOC \o "1-3" \h \z \u </w:instrText>
          </w:r>
          <w:r w:rsidRPr="00BB22F2">
            <w:rPr>
              <w:rFonts w:ascii="Arial" w:hAnsi="Arial" w:cs="Arial"/>
              <w:b/>
              <w:bCs/>
              <w:color w:val="auto"/>
              <w:sz w:val="24"/>
              <w:szCs w:val="24"/>
            </w:rPr>
            <w:fldChar w:fldCharType="separate"/>
          </w:r>
        </w:p>
        <w:p w14:paraId="1BEB8C36" w14:textId="59C40C82" w:rsidR="00D04F7C" w:rsidRPr="00BB22F2" w:rsidRDefault="00D04F7C">
          <w:pPr>
            <w:pStyle w:val="TDC1"/>
            <w:tabs>
              <w:tab w:val="right" w:leader="dot" w:pos="9345"/>
            </w:tabs>
            <w:rPr>
              <w:rFonts w:ascii="Arial" w:eastAsiaTheme="minorEastAsia" w:hAnsi="Arial" w:cs="Arial"/>
              <w:b/>
              <w:bCs/>
              <w:noProof/>
              <w:kern w:val="2"/>
              <w:lang w:val="es-ES"/>
              <w14:ligatures w14:val="standardContextual"/>
            </w:rPr>
          </w:pPr>
          <w:hyperlink w:anchor="_Toc228874206" w:history="1">
            <w:r w:rsidRPr="00BB22F2">
              <w:rPr>
                <w:rStyle w:val="Hipervnculo"/>
                <w:rFonts w:ascii="Arial" w:hAnsi="Arial" w:cs="Arial"/>
                <w:b/>
                <w:bCs/>
                <w:noProof/>
                <w:color w:val="auto"/>
              </w:rPr>
              <w:t>Generalidades</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_Toc228874206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9</w:t>
            </w:r>
            <w:r w:rsidRPr="00BB22F2">
              <w:rPr>
                <w:rFonts w:ascii="Arial" w:hAnsi="Arial" w:cs="Arial"/>
                <w:b/>
                <w:bCs/>
                <w:noProof/>
                <w:webHidden/>
              </w:rPr>
              <w:fldChar w:fldCharType="end"/>
            </w:r>
          </w:hyperlink>
        </w:p>
        <w:p w14:paraId="366EA78B" w14:textId="70E78BCF" w:rsidR="00D04F7C" w:rsidRPr="00BB22F2" w:rsidRDefault="00D04F7C">
          <w:pPr>
            <w:pStyle w:val="TDC1"/>
            <w:tabs>
              <w:tab w:val="right" w:leader="dot" w:pos="9345"/>
            </w:tabs>
            <w:rPr>
              <w:rFonts w:ascii="Arial" w:eastAsiaTheme="minorEastAsia" w:hAnsi="Arial" w:cs="Arial"/>
              <w:b/>
              <w:bCs/>
              <w:noProof/>
              <w:kern w:val="2"/>
              <w:lang w:val="es-ES"/>
              <w14:ligatures w14:val="standardContextual"/>
            </w:rPr>
          </w:pPr>
          <w:hyperlink w:anchor="_Toc228874207" w:history="1">
            <w:r w:rsidRPr="00BB22F2">
              <w:rPr>
                <w:rStyle w:val="Hipervnculo"/>
                <w:rFonts w:ascii="Arial" w:hAnsi="Arial" w:cs="Arial"/>
                <w:b/>
                <w:bCs/>
                <w:noProof/>
                <w:color w:val="auto"/>
                <w:lang w:eastAsia="es-ES_tradnl"/>
              </w:rPr>
              <w:t>Resumen</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_Toc228874207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11</w:t>
            </w:r>
            <w:r w:rsidRPr="00BB22F2">
              <w:rPr>
                <w:rFonts w:ascii="Arial" w:hAnsi="Arial" w:cs="Arial"/>
                <w:b/>
                <w:bCs/>
                <w:noProof/>
                <w:webHidden/>
              </w:rPr>
              <w:fldChar w:fldCharType="end"/>
            </w:r>
          </w:hyperlink>
        </w:p>
        <w:p w14:paraId="4E1E549D" w14:textId="4AB429AC" w:rsidR="00D04F7C" w:rsidRPr="00BB22F2" w:rsidRDefault="00D04F7C">
          <w:pPr>
            <w:pStyle w:val="TDC1"/>
            <w:tabs>
              <w:tab w:val="right" w:leader="dot" w:pos="9345"/>
            </w:tabs>
            <w:rPr>
              <w:rFonts w:ascii="Arial" w:eastAsiaTheme="minorEastAsia" w:hAnsi="Arial" w:cs="Arial"/>
              <w:b/>
              <w:bCs/>
              <w:noProof/>
              <w:kern w:val="2"/>
              <w:lang w:val="es-ES"/>
              <w14:ligatures w14:val="standardContextual"/>
            </w:rPr>
          </w:pPr>
          <w:hyperlink w:anchor="_Toc228874208" w:history="1">
            <w:r w:rsidRPr="00BB22F2">
              <w:rPr>
                <w:rStyle w:val="Hipervnculo"/>
                <w:rFonts w:ascii="Arial" w:hAnsi="Arial" w:cs="Arial"/>
                <w:b/>
                <w:bCs/>
                <w:noProof/>
                <w:color w:val="auto"/>
              </w:rPr>
              <w:t>Introducción</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_Toc228874208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13</w:t>
            </w:r>
            <w:r w:rsidRPr="00BB22F2">
              <w:rPr>
                <w:rFonts w:ascii="Arial" w:hAnsi="Arial" w:cs="Arial"/>
                <w:b/>
                <w:bCs/>
                <w:noProof/>
                <w:webHidden/>
              </w:rPr>
              <w:fldChar w:fldCharType="end"/>
            </w:r>
          </w:hyperlink>
        </w:p>
        <w:p w14:paraId="7CA0F20F" w14:textId="735E610C" w:rsidR="00D04F7C" w:rsidRPr="00BB22F2" w:rsidRDefault="00D04F7C">
          <w:pPr>
            <w:pStyle w:val="TDC1"/>
            <w:tabs>
              <w:tab w:val="right" w:leader="dot" w:pos="9345"/>
            </w:tabs>
            <w:rPr>
              <w:rFonts w:ascii="Arial" w:eastAsiaTheme="minorEastAsia" w:hAnsi="Arial" w:cs="Arial"/>
              <w:b/>
              <w:bCs/>
              <w:noProof/>
              <w:kern w:val="2"/>
              <w:lang w:val="es-ES"/>
              <w14:ligatures w14:val="standardContextual"/>
            </w:rPr>
          </w:pPr>
          <w:hyperlink w:anchor="_Toc228874209" w:history="1">
            <w:r w:rsidRPr="00BB22F2">
              <w:rPr>
                <w:rStyle w:val="Hipervnculo"/>
                <w:rFonts w:ascii="Arial" w:hAnsi="Arial" w:cs="Arial"/>
                <w:b/>
                <w:bCs/>
                <w:noProof/>
                <w:color w:val="auto"/>
              </w:rPr>
              <w:t>Capítulo 1. Presentación, alcance y bases del inventario</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_Toc228874209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14</w:t>
            </w:r>
            <w:r w:rsidRPr="00BB22F2">
              <w:rPr>
                <w:rFonts w:ascii="Arial" w:hAnsi="Arial" w:cs="Arial"/>
                <w:b/>
                <w:bCs/>
                <w:noProof/>
                <w:webHidden/>
              </w:rPr>
              <w:fldChar w:fldCharType="end"/>
            </w:r>
          </w:hyperlink>
        </w:p>
        <w:p w14:paraId="45732049" w14:textId="426237FE"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10" w:history="1">
            <w:r w:rsidRPr="00BB22F2">
              <w:rPr>
                <w:rStyle w:val="Hipervnculo"/>
                <w:rFonts w:ascii="Arial" w:hAnsi="Arial" w:cs="Arial"/>
                <w:b/>
                <w:bCs/>
                <w:noProof/>
                <w:color w:val="auto"/>
              </w:rPr>
              <w:t>1.1 ¿Cuál es el producto esperado?</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_Toc228874210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14</w:t>
            </w:r>
            <w:r w:rsidRPr="00BB22F2">
              <w:rPr>
                <w:rFonts w:ascii="Arial" w:hAnsi="Arial" w:cs="Arial"/>
                <w:b/>
                <w:bCs/>
                <w:noProof/>
                <w:webHidden/>
              </w:rPr>
              <w:fldChar w:fldCharType="end"/>
            </w:r>
          </w:hyperlink>
        </w:p>
        <w:p w14:paraId="6CAA6DA7" w14:textId="35830107"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11" w:history="1">
            <w:r w:rsidRPr="00BB22F2">
              <w:rPr>
                <w:rStyle w:val="Hipervnculo"/>
                <w:rFonts w:ascii="Arial" w:hAnsi="Arial" w:cs="Arial"/>
                <w:b/>
                <w:bCs/>
                <w:noProof/>
                <w:color w:val="auto"/>
              </w:rPr>
              <w:t>1.2 ¿Qué es el inventario municipal de inmuebles?</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_Toc228874211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14</w:t>
            </w:r>
            <w:r w:rsidRPr="00BB22F2">
              <w:rPr>
                <w:rFonts w:ascii="Arial" w:hAnsi="Arial" w:cs="Arial"/>
                <w:b/>
                <w:bCs/>
                <w:noProof/>
                <w:webHidden/>
              </w:rPr>
              <w:fldChar w:fldCharType="end"/>
            </w:r>
          </w:hyperlink>
        </w:p>
        <w:p w14:paraId="613D9767" w14:textId="78DF440A"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12" w:history="1">
            <w:r w:rsidRPr="00BB22F2">
              <w:rPr>
                <w:rStyle w:val="Hipervnculo"/>
                <w:rFonts w:ascii="Arial" w:hAnsi="Arial" w:cs="Arial"/>
                <w:b/>
                <w:bCs/>
                <w:noProof/>
                <w:color w:val="auto"/>
              </w:rPr>
              <w:t>1.3 Atributos mínimos del inventario</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_Toc228874212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15</w:t>
            </w:r>
            <w:r w:rsidRPr="00BB22F2">
              <w:rPr>
                <w:rFonts w:ascii="Arial" w:hAnsi="Arial" w:cs="Arial"/>
                <w:b/>
                <w:bCs/>
                <w:noProof/>
                <w:webHidden/>
              </w:rPr>
              <w:fldChar w:fldCharType="end"/>
            </w:r>
          </w:hyperlink>
        </w:p>
        <w:p w14:paraId="12E62E73" w14:textId="0D727A03"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13" w:history="1">
            <w:r w:rsidRPr="00BB22F2">
              <w:rPr>
                <w:rStyle w:val="Hipervnculo"/>
                <w:rFonts w:ascii="Arial" w:hAnsi="Arial" w:cs="Arial"/>
                <w:b/>
                <w:bCs/>
                <w:noProof/>
                <w:color w:val="auto"/>
              </w:rPr>
              <w:t>1.4 Articulación del Inventario Municipal de Inmuebles con un Sistema de Información Geográfica</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_Toc228874213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17</w:t>
            </w:r>
            <w:r w:rsidRPr="00BB22F2">
              <w:rPr>
                <w:rFonts w:ascii="Arial" w:hAnsi="Arial" w:cs="Arial"/>
                <w:b/>
                <w:bCs/>
                <w:noProof/>
                <w:webHidden/>
              </w:rPr>
              <w:fldChar w:fldCharType="end"/>
            </w:r>
          </w:hyperlink>
        </w:p>
        <w:p w14:paraId="2390B810" w14:textId="7BDA4056"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14" w:history="1">
            <w:r w:rsidRPr="00BB22F2">
              <w:rPr>
                <w:rStyle w:val="Hipervnculo"/>
                <w:rFonts w:ascii="Arial" w:hAnsi="Arial" w:cs="Arial"/>
                <w:b/>
                <w:bCs/>
                <w:noProof/>
                <w:color w:val="auto"/>
              </w:rPr>
              <w:t>1.5 Estructura sugerida de la base de datos geográfica</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_Toc228874214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17</w:t>
            </w:r>
            <w:r w:rsidRPr="00BB22F2">
              <w:rPr>
                <w:rFonts w:ascii="Arial" w:hAnsi="Arial" w:cs="Arial"/>
                <w:b/>
                <w:bCs/>
                <w:noProof/>
                <w:webHidden/>
              </w:rPr>
              <w:fldChar w:fldCharType="end"/>
            </w:r>
          </w:hyperlink>
        </w:p>
        <w:p w14:paraId="01F1FFD4" w14:textId="68DF74A9" w:rsidR="00D04F7C" w:rsidRPr="00BB22F2" w:rsidRDefault="00D04F7C">
          <w:pPr>
            <w:pStyle w:val="TDC1"/>
            <w:tabs>
              <w:tab w:val="right" w:leader="dot" w:pos="9345"/>
            </w:tabs>
            <w:rPr>
              <w:rFonts w:ascii="Arial" w:eastAsiaTheme="minorEastAsia" w:hAnsi="Arial" w:cs="Arial"/>
              <w:b/>
              <w:bCs/>
              <w:noProof/>
              <w:kern w:val="2"/>
              <w:lang w:val="es-ES"/>
              <w14:ligatures w14:val="standardContextual"/>
            </w:rPr>
          </w:pPr>
          <w:hyperlink w:anchor="_Toc228874215" w:history="1">
            <w:r w:rsidRPr="00BB22F2">
              <w:rPr>
                <w:rStyle w:val="Hipervnculo"/>
                <w:rFonts w:ascii="Arial" w:hAnsi="Arial" w:cs="Arial"/>
                <w:b/>
                <w:bCs/>
                <w:noProof/>
                <w:color w:val="auto"/>
              </w:rPr>
              <w:t>Capítulo 2. Pasos para la conformación del inventario municipal de inmuebles</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_Toc228874215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w:t>
            </w:r>
            <w:r w:rsidRPr="00BB22F2">
              <w:rPr>
                <w:rFonts w:ascii="Arial" w:hAnsi="Arial" w:cs="Arial"/>
                <w:b/>
                <w:bCs/>
                <w:noProof/>
                <w:webHidden/>
              </w:rPr>
              <w:fldChar w:fldCharType="end"/>
            </w:r>
          </w:hyperlink>
        </w:p>
        <w:p w14:paraId="3BF01C77" w14:textId="03AEC350"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16" w:history="1">
            <w:r w:rsidRPr="00BB22F2">
              <w:rPr>
                <w:rStyle w:val="Hipervnculo"/>
                <w:rFonts w:ascii="Arial" w:hAnsi="Arial" w:cs="Arial"/>
                <w:b/>
                <w:bCs/>
                <w:noProof/>
                <w:color w:val="auto"/>
              </w:rPr>
              <w:t>2.1 Paso 1. Obtener y revisar la información disponible</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_Toc228874216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2</w:t>
            </w:r>
            <w:r w:rsidRPr="00BB22F2">
              <w:rPr>
                <w:rFonts w:ascii="Arial" w:hAnsi="Arial" w:cs="Arial"/>
                <w:b/>
                <w:bCs/>
                <w:noProof/>
                <w:webHidden/>
              </w:rPr>
              <w:fldChar w:fldCharType="end"/>
            </w:r>
          </w:hyperlink>
        </w:p>
        <w:p w14:paraId="0580E0C5" w14:textId="01932B66"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17" w:history="1">
            <w:r w:rsidRPr="00BB22F2">
              <w:rPr>
                <w:rStyle w:val="Hipervnculo"/>
                <w:rFonts w:ascii="Arial" w:hAnsi="Arial" w:cs="Arial"/>
                <w:b/>
                <w:bCs/>
                <w:noProof/>
                <w:color w:val="auto"/>
              </w:rPr>
              <w:t>2.2 Paso 2. Depurar y actualizar la información</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_Toc228874217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4</w:t>
            </w:r>
            <w:r w:rsidRPr="00BB22F2">
              <w:rPr>
                <w:rFonts w:ascii="Arial" w:hAnsi="Arial" w:cs="Arial"/>
                <w:b/>
                <w:bCs/>
                <w:noProof/>
                <w:webHidden/>
              </w:rPr>
              <w:fldChar w:fldCharType="end"/>
            </w:r>
          </w:hyperlink>
        </w:p>
        <w:p w14:paraId="3C3BA063" w14:textId="1455BE34"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18" w:history="1">
            <w:r w:rsidRPr="00BB22F2">
              <w:rPr>
                <w:rStyle w:val="Hipervnculo"/>
                <w:rFonts w:ascii="Arial" w:hAnsi="Arial" w:cs="Arial"/>
                <w:b/>
                <w:bCs/>
                <w:noProof/>
                <w:color w:val="auto"/>
              </w:rPr>
              <w:t>2.3 Paso 3: Clasificación y generalidades de los bienes inmuebles en el inventario</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_Toc228874218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6</w:t>
            </w:r>
            <w:r w:rsidRPr="00BB22F2">
              <w:rPr>
                <w:rFonts w:ascii="Arial" w:hAnsi="Arial" w:cs="Arial"/>
                <w:b/>
                <w:bCs/>
                <w:noProof/>
                <w:webHidden/>
              </w:rPr>
              <w:fldChar w:fldCharType="end"/>
            </w:r>
          </w:hyperlink>
        </w:p>
        <w:p w14:paraId="5684BFFE" w14:textId="0338F981"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19" w:history="1">
            <w:r w:rsidRPr="00BB22F2">
              <w:rPr>
                <w:rStyle w:val="Hipervnculo"/>
                <w:rFonts w:ascii="Arial" w:hAnsi="Arial" w:cs="Arial"/>
                <w:b/>
                <w:bCs/>
                <w:noProof/>
                <w:color w:val="auto"/>
              </w:rPr>
              <w:t>2.4 Paso 4: Clasificar el suelo (Urbano, Rural)</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_Toc228874219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10</w:t>
            </w:r>
            <w:r w:rsidRPr="00BB22F2">
              <w:rPr>
                <w:rFonts w:ascii="Arial" w:hAnsi="Arial" w:cs="Arial"/>
                <w:b/>
                <w:bCs/>
                <w:noProof/>
                <w:webHidden/>
              </w:rPr>
              <w:fldChar w:fldCharType="end"/>
            </w:r>
          </w:hyperlink>
        </w:p>
        <w:p w14:paraId="3DC65ECC" w14:textId="166619CF" w:rsidR="00D04F7C" w:rsidRPr="00BB22F2" w:rsidRDefault="00D04F7C">
          <w:pPr>
            <w:pStyle w:val="TDC2"/>
            <w:tabs>
              <w:tab w:val="right" w:leader="dot" w:pos="9345"/>
            </w:tabs>
            <w:rPr>
              <w:rFonts w:ascii="Arial" w:eastAsiaTheme="minorEastAsia" w:hAnsi="Arial" w:cs="Arial"/>
              <w:b/>
              <w:bCs/>
              <w:noProof/>
              <w:kern w:val="2"/>
              <w:lang w:val="es-ES"/>
              <w14:ligatures w14:val="standardContextual"/>
            </w:rPr>
          </w:pPr>
          <w:hyperlink w:anchor="_Toc228874220" w:history="1">
            <w:r w:rsidRPr="00BB22F2">
              <w:rPr>
                <w:rStyle w:val="Hipervnculo"/>
                <w:rFonts w:ascii="Arial" w:hAnsi="Arial" w:cs="Arial"/>
                <w:b/>
                <w:bCs/>
                <w:noProof/>
                <w:color w:val="auto"/>
              </w:rPr>
              <w:t>2.5 Paso 5: Conformación del Inventario municipal de inmuebles</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_Toc228874220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10</w:t>
            </w:r>
            <w:r w:rsidRPr="00BB22F2">
              <w:rPr>
                <w:rFonts w:ascii="Arial" w:hAnsi="Arial" w:cs="Arial"/>
                <w:b/>
                <w:bCs/>
                <w:noProof/>
                <w:webHidden/>
              </w:rPr>
              <w:fldChar w:fldCharType="end"/>
            </w:r>
          </w:hyperlink>
        </w:p>
        <w:p w14:paraId="7E2F84AF" w14:textId="14507F06" w:rsidR="00D04F7C" w:rsidRPr="00BB22F2" w:rsidRDefault="00D04F7C">
          <w:pPr>
            <w:pStyle w:val="TDC1"/>
            <w:tabs>
              <w:tab w:val="right" w:leader="dot" w:pos="9345"/>
            </w:tabs>
            <w:rPr>
              <w:rFonts w:ascii="Arial" w:eastAsiaTheme="minorEastAsia" w:hAnsi="Arial" w:cs="Arial"/>
              <w:b/>
              <w:bCs/>
              <w:noProof/>
              <w:kern w:val="2"/>
              <w:lang w:val="es-ES"/>
              <w14:ligatures w14:val="standardContextual"/>
            </w:rPr>
          </w:pPr>
          <w:hyperlink w:anchor="_Toc228874221" w:history="1">
            <w:r w:rsidRPr="00BB22F2">
              <w:rPr>
                <w:rStyle w:val="Hipervnculo"/>
                <w:rFonts w:ascii="Arial" w:hAnsi="Arial" w:cs="Arial"/>
                <w:b/>
                <w:bCs/>
                <w:noProof/>
                <w:color w:val="auto"/>
              </w:rPr>
              <w:t>Capítulo 3. Uso del inventario municipal de inmuebles para la asignación de rutas de saneamiento</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_Toc228874221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12</w:t>
            </w:r>
            <w:r w:rsidRPr="00BB22F2">
              <w:rPr>
                <w:rFonts w:ascii="Arial" w:hAnsi="Arial" w:cs="Arial"/>
                <w:b/>
                <w:bCs/>
                <w:noProof/>
                <w:webHidden/>
              </w:rPr>
              <w:fldChar w:fldCharType="end"/>
            </w:r>
          </w:hyperlink>
        </w:p>
        <w:p w14:paraId="00021FD8" w14:textId="17053C39" w:rsidR="00D04F7C" w:rsidRPr="00BB22F2" w:rsidRDefault="00D04F7C">
          <w:pPr>
            <w:pStyle w:val="TDC1"/>
            <w:tabs>
              <w:tab w:val="right" w:leader="dot" w:pos="9345"/>
            </w:tabs>
            <w:rPr>
              <w:rFonts w:ascii="Arial" w:eastAsiaTheme="minorEastAsia" w:hAnsi="Arial" w:cs="Arial"/>
              <w:b/>
              <w:bCs/>
              <w:noProof/>
              <w:kern w:val="2"/>
              <w:lang w:val="es-ES"/>
              <w14:ligatures w14:val="standardContextual"/>
            </w:rPr>
          </w:pPr>
          <w:hyperlink w:anchor="_Toc228874222" w:history="1">
            <w:r w:rsidRPr="00BB22F2">
              <w:rPr>
                <w:rStyle w:val="Hipervnculo"/>
                <w:rFonts w:ascii="Arial" w:hAnsi="Arial" w:cs="Arial"/>
                <w:b/>
                <w:bCs/>
                <w:noProof/>
                <w:color w:val="auto"/>
              </w:rPr>
              <w:t>Glosario</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_Toc228874222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13</w:t>
            </w:r>
            <w:r w:rsidRPr="00BB22F2">
              <w:rPr>
                <w:rFonts w:ascii="Arial" w:hAnsi="Arial" w:cs="Arial"/>
                <w:b/>
                <w:bCs/>
                <w:noProof/>
                <w:webHidden/>
              </w:rPr>
              <w:fldChar w:fldCharType="end"/>
            </w:r>
          </w:hyperlink>
        </w:p>
        <w:p w14:paraId="6C8C5518" w14:textId="4D2E0155" w:rsidR="00D04F7C" w:rsidRPr="00BB22F2" w:rsidRDefault="00D04F7C">
          <w:pPr>
            <w:pStyle w:val="TDC1"/>
            <w:tabs>
              <w:tab w:val="right" w:leader="dot" w:pos="9345"/>
            </w:tabs>
            <w:rPr>
              <w:rFonts w:ascii="Arial" w:eastAsiaTheme="minorEastAsia" w:hAnsi="Arial" w:cs="Arial"/>
              <w:b/>
              <w:bCs/>
              <w:noProof/>
              <w:kern w:val="2"/>
              <w:lang w:val="es-ES"/>
              <w14:ligatures w14:val="standardContextual"/>
            </w:rPr>
          </w:pPr>
          <w:hyperlink w:anchor="_Toc228874223" w:history="1">
            <w:r w:rsidRPr="00BB22F2">
              <w:rPr>
                <w:rStyle w:val="Hipervnculo"/>
                <w:rFonts w:ascii="Arial" w:hAnsi="Arial" w:cs="Arial"/>
                <w:b/>
                <w:bCs/>
                <w:noProof/>
                <w:color w:val="auto"/>
              </w:rPr>
              <w:t>Anexos</w:t>
            </w:r>
            <w:r w:rsidRPr="00BB22F2">
              <w:rPr>
                <w:rFonts w:ascii="Arial" w:hAnsi="Arial" w:cs="Arial"/>
                <w:b/>
                <w:bCs/>
                <w:noProof/>
                <w:webHidden/>
              </w:rPr>
              <w:tab/>
            </w:r>
            <w:r w:rsidRPr="00BB22F2">
              <w:rPr>
                <w:rFonts w:ascii="Arial" w:hAnsi="Arial" w:cs="Arial"/>
                <w:b/>
                <w:bCs/>
                <w:noProof/>
                <w:webHidden/>
              </w:rPr>
              <w:fldChar w:fldCharType="begin"/>
            </w:r>
            <w:r w:rsidRPr="00BB22F2">
              <w:rPr>
                <w:rFonts w:ascii="Arial" w:hAnsi="Arial" w:cs="Arial"/>
                <w:b/>
                <w:bCs/>
                <w:noProof/>
                <w:webHidden/>
              </w:rPr>
              <w:instrText xml:space="preserve"> PAGEREF _Toc228874223 \h </w:instrText>
            </w:r>
            <w:r w:rsidRPr="00BB22F2">
              <w:rPr>
                <w:rFonts w:ascii="Arial" w:hAnsi="Arial" w:cs="Arial"/>
                <w:b/>
                <w:bCs/>
                <w:noProof/>
                <w:webHidden/>
              </w:rPr>
            </w:r>
            <w:r w:rsidRPr="00BB22F2">
              <w:rPr>
                <w:rFonts w:ascii="Arial" w:hAnsi="Arial" w:cs="Arial"/>
                <w:b/>
                <w:bCs/>
                <w:noProof/>
                <w:webHidden/>
              </w:rPr>
              <w:fldChar w:fldCharType="separate"/>
            </w:r>
            <w:r w:rsidRPr="00BB22F2">
              <w:rPr>
                <w:rFonts w:ascii="Arial" w:hAnsi="Arial" w:cs="Arial"/>
                <w:b/>
                <w:bCs/>
                <w:noProof/>
                <w:webHidden/>
              </w:rPr>
              <w:t>16</w:t>
            </w:r>
            <w:r w:rsidRPr="00BB22F2">
              <w:rPr>
                <w:rFonts w:ascii="Arial" w:hAnsi="Arial" w:cs="Arial"/>
                <w:b/>
                <w:bCs/>
                <w:noProof/>
                <w:webHidden/>
              </w:rPr>
              <w:fldChar w:fldCharType="end"/>
            </w:r>
          </w:hyperlink>
        </w:p>
        <w:p w14:paraId="7D7CFD9A" w14:textId="5EA95954" w:rsidR="00BA693C" w:rsidRDefault="00BA693C">
          <w:r w:rsidRPr="00BB22F2">
            <w:rPr>
              <w:rFonts w:ascii="Arial" w:hAnsi="Arial" w:cs="Arial"/>
              <w:b/>
              <w:bCs/>
            </w:rPr>
            <w:fldChar w:fldCharType="end"/>
          </w:r>
        </w:p>
      </w:sdtContent>
    </w:sdt>
    <w:p w14:paraId="4DD3B4D8" w14:textId="77777777" w:rsidR="003B0029" w:rsidRDefault="003B0029" w:rsidP="003B0029">
      <w:pPr>
        <w:rPr>
          <w:rFonts w:ascii="Arial" w:hAnsi="Arial" w:cs="Arial"/>
        </w:rPr>
      </w:pPr>
      <w:bookmarkStart w:id="10" w:name="_Toc228875052"/>
    </w:p>
    <w:p w14:paraId="45945ECB" w14:textId="77777777" w:rsidR="00831BEC" w:rsidRDefault="00831BEC" w:rsidP="003B0029">
      <w:pPr>
        <w:rPr>
          <w:rFonts w:ascii="Arial" w:hAnsi="Arial" w:cs="Arial"/>
        </w:rPr>
      </w:pPr>
    </w:p>
    <w:p w14:paraId="34B7D740" w14:textId="77777777" w:rsidR="00831BEC" w:rsidRDefault="00831BEC" w:rsidP="003B0029">
      <w:pPr>
        <w:rPr>
          <w:rFonts w:ascii="Arial" w:hAnsi="Arial" w:cs="Arial"/>
        </w:rPr>
      </w:pPr>
    </w:p>
    <w:p w14:paraId="6342FC42" w14:textId="4D9D289C" w:rsidR="003B0029" w:rsidRDefault="00654DE1" w:rsidP="003B0029">
      <w:pPr>
        <w:rPr>
          <w:rFonts w:ascii="Arial" w:hAnsi="Arial" w:cs="Arial"/>
          <w:b/>
          <w:bCs/>
        </w:rPr>
      </w:pPr>
      <w:r>
        <w:rPr>
          <w:rFonts w:ascii="Arial" w:hAnsi="Arial" w:cs="Arial"/>
          <w:b/>
          <w:bCs/>
        </w:rPr>
        <w:lastRenderedPageBreak/>
        <w:t>Lista</w:t>
      </w:r>
      <w:r w:rsidR="003B0029" w:rsidRPr="00A9118A">
        <w:rPr>
          <w:rFonts w:ascii="Arial" w:hAnsi="Arial" w:cs="Arial"/>
          <w:b/>
          <w:bCs/>
        </w:rPr>
        <w:t xml:space="preserve"> de gráficas</w:t>
      </w:r>
    </w:p>
    <w:p w14:paraId="68DAF676" w14:textId="77777777" w:rsidR="00831BEC" w:rsidRPr="00A9118A" w:rsidRDefault="00831BEC" w:rsidP="003B0029">
      <w:pPr>
        <w:rPr>
          <w:rFonts w:ascii="Arial" w:hAnsi="Arial" w:cs="Arial"/>
          <w:b/>
          <w:bCs/>
        </w:rPr>
      </w:pPr>
    </w:p>
    <w:p w14:paraId="4B00A392" w14:textId="766CE0AB" w:rsidR="003B0029" w:rsidRPr="00A9118A" w:rsidRDefault="003B0029" w:rsidP="003B0029">
      <w:pPr>
        <w:rPr>
          <w:rFonts w:ascii="Arial" w:hAnsi="Arial" w:cs="Arial"/>
          <w:b/>
          <w:bCs/>
        </w:rPr>
      </w:pPr>
      <w:r w:rsidRPr="00A9118A">
        <w:rPr>
          <w:rFonts w:ascii="Arial" w:hAnsi="Arial" w:cs="Arial"/>
          <w:b/>
          <w:bCs/>
        </w:rPr>
        <w:t>Gráfica N° 1. El KIT de herramientas CiuData+ para la gestión, administración y formalización del patrimonio inmobiliario municipal</w:t>
      </w:r>
      <w:bookmarkEnd w:id="10"/>
      <w:r w:rsidRPr="00A9118A">
        <w:rPr>
          <w:rFonts w:ascii="Arial" w:hAnsi="Arial" w:cs="Arial"/>
          <w:b/>
          <w:bCs/>
        </w:rPr>
        <w:t xml:space="preserve"> …………………………………</w:t>
      </w:r>
      <w:r w:rsidR="00F17415">
        <w:rPr>
          <w:rFonts w:ascii="Arial" w:hAnsi="Arial" w:cs="Arial"/>
          <w:b/>
          <w:bCs/>
        </w:rPr>
        <w:t xml:space="preserve"> 9</w:t>
      </w:r>
    </w:p>
    <w:p w14:paraId="728FEE47" w14:textId="429FF2EB" w:rsidR="003B0029" w:rsidRPr="00A9118A" w:rsidRDefault="003B0029" w:rsidP="003B0029">
      <w:pPr>
        <w:rPr>
          <w:rFonts w:ascii="Arial" w:hAnsi="Arial" w:cs="Arial"/>
          <w:b/>
          <w:bCs/>
        </w:rPr>
      </w:pPr>
      <w:bookmarkStart w:id="11" w:name="_Toc228875053"/>
      <w:r w:rsidRPr="00A9118A">
        <w:rPr>
          <w:rFonts w:ascii="Arial" w:hAnsi="Arial" w:cs="Arial"/>
          <w:b/>
          <w:bCs/>
        </w:rPr>
        <w:t>Gráfica N° 2. Pasos conformación inventario municipal de inmuebles</w:t>
      </w:r>
      <w:bookmarkEnd w:id="11"/>
      <w:r w:rsidR="00A9118A" w:rsidRPr="00A9118A">
        <w:rPr>
          <w:rFonts w:ascii="Arial" w:hAnsi="Arial" w:cs="Arial"/>
          <w:b/>
          <w:bCs/>
        </w:rPr>
        <w:t xml:space="preserve"> ……</w:t>
      </w:r>
      <w:r w:rsidR="005D383A" w:rsidRPr="00A9118A">
        <w:rPr>
          <w:rFonts w:ascii="Arial" w:hAnsi="Arial" w:cs="Arial"/>
          <w:b/>
          <w:bCs/>
        </w:rPr>
        <w:t>……</w:t>
      </w:r>
      <w:r w:rsidR="00A9118A" w:rsidRPr="00A9118A">
        <w:rPr>
          <w:rFonts w:ascii="Arial" w:hAnsi="Arial" w:cs="Arial"/>
          <w:b/>
          <w:bCs/>
        </w:rPr>
        <w:t>.</w:t>
      </w:r>
      <w:r w:rsidR="00796E49">
        <w:rPr>
          <w:rFonts w:ascii="Arial" w:hAnsi="Arial" w:cs="Arial"/>
          <w:b/>
          <w:bCs/>
        </w:rPr>
        <w:t xml:space="preserve"> 19</w:t>
      </w:r>
    </w:p>
    <w:p w14:paraId="16B51C9F" w14:textId="42E6F68F" w:rsidR="003B0029" w:rsidRPr="00A9118A" w:rsidRDefault="003B0029" w:rsidP="003B0029">
      <w:pPr>
        <w:rPr>
          <w:rFonts w:ascii="Arial" w:hAnsi="Arial" w:cs="Arial"/>
          <w:b/>
          <w:bCs/>
        </w:rPr>
      </w:pPr>
      <w:bookmarkStart w:id="12" w:name="_Toc228875054"/>
      <w:r w:rsidRPr="00A9118A">
        <w:rPr>
          <w:rFonts w:ascii="Arial" w:hAnsi="Arial" w:cs="Arial"/>
          <w:b/>
          <w:bCs/>
        </w:rPr>
        <w:t>Gráfica N° 3. Resumen acciones del paso 2</w:t>
      </w:r>
      <w:bookmarkEnd w:id="12"/>
      <w:r w:rsidR="00A9118A" w:rsidRPr="00A9118A">
        <w:rPr>
          <w:rFonts w:ascii="Arial" w:hAnsi="Arial" w:cs="Arial"/>
          <w:b/>
          <w:bCs/>
        </w:rPr>
        <w:t xml:space="preserve"> ………………………………………...</w:t>
      </w:r>
      <w:r w:rsidR="00090DA3">
        <w:rPr>
          <w:rFonts w:ascii="Arial" w:hAnsi="Arial" w:cs="Arial"/>
          <w:b/>
          <w:bCs/>
        </w:rPr>
        <w:t>...</w:t>
      </w:r>
      <w:r w:rsidR="005D383A">
        <w:rPr>
          <w:rFonts w:ascii="Arial" w:hAnsi="Arial" w:cs="Arial"/>
          <w:b/>
          <w:bCs/>
        </w:rPr>
        <w:t xml:space="preserve"> 24</w:t>
      </w:r>
    </w:p>
    <w:p w14:paraId="3D17B8EF" w14:textId="39B6A30E" w:rsidR="003B0029" w:rsidRPr="00A9118A" w:rsidRDefault="003B0029" w:rsidP="003B0029">
      <w:pPr>
        <w:rPr>
          <w:rFonts w:ascii="Arial" w:hAnsi="Arial" w:cs="Arial"/>
          <w:b/>
          <w:bCs/>
        </w:rPr>
      </w:pPr>
      <w:bookmarkStart w:id="13" w:name="_Toc228875055"/>
      <w:r w:rsidRPr="00A9118A">
        <w:rPr>
          <w:rFonts w:ascii="Arial" w:hAnsi="Arial" w:cs="Arial"/>
          <w:b/>
          <w:bCs/>
        </w:rPr>
        <w:t>Gráfica N° 4. Clasificación de los bienes inmuebles según su naturaleza</w:t>
      </w:r>
      <w:bookmarkEnd w:id="13"/>
      <w:r w:rsidR="00A9118A" w:rsidRPr="00A9118A">
        <w:rPr>
          <w:rFonts w:ascii="Arial" w:hAnsi="Arial" w:cs="Arial"/>
          <w:b/>
          <w:bCs/>
        </w:rPr>
        <w:t xml:space="preserve"> ………</w:t>
      </w:r>
      <w:r w:rsidR="005D383A">
        <w:rPr>
          <w:rFonts w:ascii="Arial" w:hAnsi="Arial" w:cs="Arial"/>
          <w:b/>
          <w:bCs/>
        </w:rPr>
        <w:t xml:space="preserve"> 25</w:t>
      </w:r>
    </w:p>
    <w:p w14:paraId="521E7301" w14:textId="46D9C435" w:rsidR="003B0029" w:rsidRPr="00A9118A" w:rsidRDefault="003B0029" w:rsidP="003B0029">
      <w:pPr>
        <w:rPr>
          <w:rFonts w:ascii="Arial" w:eastAsia="Arial" w:hAnsi="Arial" w:cs="Arial"/>
          <w:b/>
          <w:bCs/>
        </w:rPr>
      </w:pPr>
      <w:bookmarkStart w:id="14" w:name="_Toc228875056"/>
      <w:r w:rsidRPr="00A9118A">
        <w:rPr>
          <w:rFonts w:ascii="Arial" w:hAnsi="Arial" w:cs="Arial"/>
          <w:b/>
          <w:bCs/>
        </w:rPr>
        <w:t>Gráfica N° 5. Flujograma de clasificación de los bienes</w:t>
      </w:r>
      <w:bookmarkEnd w:id="14"/>
      <w:r w:rsidR="00A9118A" w:rsidRPr="00A9118A">
        <w:rPr>
          <w:rFonts w:ascii="Arial" w:hAnsi="Arial" w:cs="Arial"/>
          <w:b/>
          <w:bCs/>
        </w:rPr>
        <w:t xml:space="preserve"> ……………………………</w:t>
      </w:r>
      <w:r w:rsidR="00090DA3">
        <w:rPr>
          <w:rFonts w:ascii="Arial" w:hAnsi="Arial" w:cs="Arial"/>
          <w:b/>
          <w:bCs/>
        </w:rPr>
        <w:t>.</w:t>
      </w:r>
      <w:r w:rsidR="005D383A">
        <w:rPr>
          <w:rFonts w:ascii="Arial" w:hAnsi="Arial" w:cs="Arial"/>
          <w:b/>
          <w:bCs/>
        </w:rPr>
        <w:t xml:space="preserve"> 26</w:t>
      </w:r>
    </w:p>
    <w:p w14:paraId="6312C42F" w14:textId="77777777" w:rsidR="00AF316C" w:rsidRDefault="00AF316C">
      <w:pPr>
        <w:pStyle w:val="Ttulo1"/>
        <w:spacing w:before="0" w:after="160" w:line="301" w:lineRule="auto"/>
        <w:jc w:val="center"/>
        <w:rPr>
          <w:rFonts w:ascii="Arial" w:eastAsia="Arial" w:hAnsi="Arial" w:cs="Arial"/>
          <w:b/>
          <w:bCs/>
          <w:color w:val="000000"/>
          <w:sz w:val="24"/>
          <w:szCs w:val="24"/>
        </w:rPr>
      </w:pPr>
    </w:p>
    <w:p w14:paraId="197A033E" w14:textId="77777777" w:rsidR="00D91032" w:rsidRPr="00D91032" w:rsidRDefault="00D91032" w:rsidP="00D91032"/>
    <w:p w14:paraId="523A14AE" w14:textId="7DE80C17" w:rsidR="00E51F49" w:rsidRDefault="00B81E55" w:rsidP="00E51F49">
      <w:pPr>
        <w:rPr>
          <w:rFonts w:ascii="Arial" w:hAnsi="Arial" w:cs="Arial"/>
          <w:b/>
          <w:bCs/>
        </w:rPr>
      </w:pPr>
      <w:r w:rsidRPr="00903F67">
        <w:rPr>
          <w:rFonts w:ascii="Arial" w:hAnsi="Arial" w:cs="Arial"/>
          <w:b/>
          <w:bCs/>
        </w:rPr>
        <w:t>Lista de tablas</w:t>
      </w:r>
    </w:p>
    <w:p w14:paraId="4ADFC4C1" w14:textId="77777777" w:rsidR="00831BEC" w:rsidRDefault="00831BEC" w:rsidP="00E51F49">
      <w:pPr>
        <w:rPr>
          <w:rFonts w:ascii="Arial" w:hAnsi="Arial" w:cs="Arial"/>
          <w:b/>
          <w:bCs/>
        </w:rPr>
      </w:pPr>
    </w:p>
    <w:p w14:paraId="3D558415" w14:textId="77777777" w:rsidR="00903F67" w:rsidRDefault="00903F67" w:rsidP="00654DE1">
      <w:pPr>
        <w:rPr>
          <w:b/>
          <w:bCs/>
        </w:rPr>
      </w:pPr>
      <w:r>
        <w:rPr>
          <w:b/>
          <w:bCs/>
        </w:rPr>
        <w:t>Tabla No 1. Estructura mínima recomendada del Inventario Municipal de inmuebles</w:t>
      </w:r>
    </w:p>
    <w:p w14:paraId="4B74E224" w14:textId="3413235F" w:rsidR="00903F67" w:rsidRDefault="00903F67" w:rsidP="00654DE1">
      <w:pPr>
        <w:rPr>
          <w:rFonts w:ascii="Arial" w:hAnsi="Arial" w:cs="Arial"/>
          <w:b/>
          <w:bCs/>
        </w:rPr>
      </w:pPr>
      <w:r w:rsidRPr="00FF7294">
        <w:rPr>
          <w:rFonts w:ascii="Arial" w:hAnsi="Arial" w:cs="Arial"/>
          <w:b/>
          <w:bCs/>
        </w:rPr>
        <w:t>Tabla No 2. Clases sugeridas para la organización del inventario</w:t>
      </w:r>
      <w:r w:rsidR="007E6646">
        <w:rPr>
          <w:rFonts w:ascii="Arial" w:hAnsi="Arial" w:cs="Arial"/>
          <w:b/>
          <w:bCs/>
        </w:rPr>
        <w:t xml:space="preserve"> ………………</w:t>
      </w:r>
      <w:r w:rsidR="0003738D">
        <w:rPr>
          <w:rFonts w:ascii="Arial" w:hAnsi="Arial" w:cs="Arial"/>
          <w:b/>
          <w:bCs/>
        </w:rPr>
        <w:t xml:space="preserve"> 14</w:t>
      </w:r>
    </w:p>
    <w:p w14:paraId="3E932289" w14:textId="3A0782DB" w:rsidR="00090DA3" w:rsidRDefault="00090DA3" w:rsidP="00654DE1">
      <w:pPr>
        <w:spacing w:before="240" w:after="40" w:line="240" w:lineRule="auto"/>
        <w:rPr>
          <w:rFonts w:ascii="Arial" w:eastAsia="Arial" w:hAnsi="Arial" w:cs="Arial"/>
          <w:b/>
          <w:bCs/>
        </w:rPr>
      </w:pPr>
      <w:r>
        <w:rPr>
          <w:rFonts w:ascii="Arial" w:eastAsia="Arial" w:hAnsi="Arial" w:cs="Arial"/>
          <w:b/>
          <w:bCs/>
        </w:rPr>
        <w:t xml:space="preserve">Tabla N° 3. Atributos de la Base de Datos Catastral en el modelo LADM para la identificación del inventario </w:t>
      </w:r>
      <w:r w:rsidR="007E6646">
        <w:rPr>
          <w:rFonts w:ascii="Arial" w:eastAsia="Arial" w:hAnsi="Arial" w:cs="Arial"/>
          <w:b/>
          <w:bCs/>
        </w:rPr>
        <w:t>……………………………………………………………</w:t>
      </w:r>
      <w:r w:rsidR="001C01F1">
        <w:rPr>
          <w:rFonts w:ascii="Arial" w:eastAsia="Arial" w:hAnsi="Arial" w:cs="Arial"/>
          <w:b/>
          <w:bCs/>
        </w:rPr>
        <w:t>. 1</w:t>
      </w:r>
      <w:r w:rsidR="0003738D">
        <w:rPr>
          <w:rFonts w:ascii="Arial" w:eastAsia="Arial" w:hAnsi="Arial" w:cs="Arial"/>
          <w:b/>
          <w:bCs/>
        </w:rPr>
        <w:t>7</w:t>
      </w:r>
    </w:p>
    <w:p w14:paraId="39D4E450" w14:textId="2710F8A0" w:rsidR="00090DA3" w:rsidRDefault="00090DA3" w:rsidP="00654DE1">
      <w:pPr>
        <w:spacing w:before="240" w:after="40"/>
        <w:rPr>
          <w:rFonts w:ascii="Arial" w:eastAsia="Arial" w:hAnsi="Arial" w:cs="Arial"/>
          <w:b/>
          <w:bCs/>
        </w:rPr>
      </w:pPr>
      <w:r>
        <w:rPr>
          <w:rFonts w:ascii="Arial" w:eastAsia="Arial" w:hAnsi="Arial" w:cs="Arial"/>
          <w:b/>
          <w:bCs/>
        </w:rPr>
        <w:t>Tabla N°4. Atributos de la base de datos catastral cuando no se encuentra en el nuevo estándar</w:t>
      </w:r>
      <w:r w:rsidR="007E6646">
        <w:rPr>
          <w:rFonts w:ascii="Arial" w:eastAsia="Arial" w:hAnsi="Arial" w:cs="Arial"/>
          <w:b/>
          <w:bCs/>
        </w:rPr>
        <w:t xml:space="preserve"> ……………………………………………………………………………</w:t>
      </w:r>
      <w:r w:rsidR="001C01F1">
        <w:rPr>
          <w:rFonts w:ascii="Arial" w:eastAsia="Arial" w:hAnsi="Arial" w:cs="Arial"/>
          <w:b/>
          <w:bCs/>
        </w:rPr>
        <w:t>.</w:t>
      </w:r>
      <w:r w:rsidR="0003738D">
        <w:rPr>
          <w:rFonts w:ascii="Arial" w:eastAsia="Arial" w:hAnsi="Arial" w:cs="Arial"/>
          <w:b/>
          <w:bCs/>
        </w:rPr>
        <w:t xml:space="preserve"> 21</w:t>
      </w:r>
    </w:p>
    <w:p w14:paraId="6A060B4A" w14:textId="3B7D1731" w:rsidR="00654DE1" w:rsidRDefault="00654DE1" w:rsidP="00654DE1">
      <w:pPr>
        <w:spacing w:after="0" w:line="276" w:lineRule="auto"/>
        <w:rPr>
          <w:rFonts w:ascii="Arial" w:eastAsia="Arial" w:hAnsi="Arial" w:cs="Arial"/>
          <w:b/>
          <w:bCs/>
          <w:sz w:val="22"/>
          <w:szCs w:val="22"/>
        </w:rPr>
      </w:pPr>
      <w:r>
        <w:rPr>
          <w:rFonts w:ascii="Arial" w:eastAsia="Arial" w:hAnsi="Arial" w:cs="Arial"/>
          <w:b/>
          <w:bCs/>
        </w:rPr>
        <w:t>T</w:t>
      </w:r>
      <w:r>
        <w:rPr>
          <w:rFonts w:ascii="Arial" w:eastAsia="Arial" w:hAnsi="Arial" w:cs="Arial"/>
          <w:b/>
          <w:bCs/>
          <w:sz w:val="22"/>
          <w:szCs w:val="22"/>
        </w:rPr>
        <w:t>abla N° 5 Disposiciones legales que regulan los bienes inmuebles públicos en los municipios</w:t>
      </w:r>
      <w:r w:rsidR="007E6646">
        <w:rPr>
          <w:rFonts w:ascii="Arial" w:eastAsia="Arial" w:hAnsi="Arial" w:cs="Arial"/>
          <w:b/>
          <w:bCs/>
          <w:sz w:val="22"/>
          <w:szCs w:val="22"/>
        </w:rPr>
        <w:t xml:space="preserve"> …………………………………………………………………………………………</w:t>
      </w:r>
      <w:r w:rsidR="001C01F1">
        <w:rPr>
          <w:rFonts w:ascii="Arial" w:eastAsia="Arial" w:hAnsi="Arial" w:cs="Arial"/>
          <w:b/>
          <w:bCs/>
          <w:sz w:val="22"/>
          <w:szCs w:val="22"/>
        </w:rPr>
        <w:t>..</w:t>
      </w:r>
      <w:r w:rsidR="0003738D">
        <w:rPr>
          <w:rFonts w:ascii="Arial" w:eastAsia="Arial" w:hAnsi="Arial" w:cs="Arial"/>
          <w:b/>
          <w:bCs/>
          <w:sz w:val="22"/>
          <w:szCs w:val="22"/>
        </w:rPr>
        <w:t xml:space="preserve">  22</w:t>
      </w:r>
    </w:p>
    <w:p w14:paraId="68C1B33D" w14:textId="77777777" w:rsidR="00654DE1" w:rsidRDefault="00654DE1" w:rsidP="00090DA3">
      <w:pPr>
        <w:spacing w:before="240" w:after="40"/>
        <w:jc w:val="center"/>
        <w:rPr>
          <w:rFonts w:ascii="Arial" w:eastAsia="Arial" w:hAnsi="Arial" w:cs="Arial"/>
          <w:b/>
          <w:bCs/>
        </w:rPr>
      </w:pPr>
    </w:p>
    <w:p w14:paraId="61F2C74E" w14:textId="77777777" w:rsidR="00090DA3" w:rsidRDefault="00090DA3" w:rsidP="00090DA3">
      <w:pPr>
        <w:spacing w:before="240" w:after="40" w:line="240" w:lineRule="auto"/>
        <w:jc w:val="center"/>
        <w:rPr>
          <w:rFonts w:ascii="Arial" w:eastAsia="Arial" w:hAnsi="Arial" w:cs="Arial"/>
          <w:b/>
          <w:bCs/>
        </w:rPr>
      </w:pPr>
    </w:p>
    <w:p w14:paraId="4CC50D11" w14:textId="77777777" w:rsidR="00090DA3" w:rsidRDefault="00090DA3" w:rsidP="00903F67">
      <w:pPr>
        <w:jc w:val="center"/>
        <w:rPr>
          <w:rFonts w:ascii="Arial" w:hAnsi="Arial" w:cs="Arial"/>
        </w:rPr>
      </w:pPr>
    </w:p>
    <w:p w14:paraId="398F59CD" w14:textId="77777777" w:rsidR="00903F67" w:rsidRDefault="00903F67" w:rsidP="00903F67">
      <w:pPr>
        <w:jc w:val="center"/>
        <w:rPr>
          <w:b/>
          <w:bCs/>
        </w:rPr>
      </w:pPr>
    </w:p>
    <w:p w14:paraId="3D0D2BC9" w14:textId="77777777" w:rsidR="00903F67" w:rsidRDefault="00903F67" w:rsidP="00E51F49">
      <w:pPr>
        <w:rPr>
          <w:rFonts w:ascii="Arial" w:hAnsi="Arial" w:cs="Arial"/>
          <w:b/>
          <w:bCs/>
        </w:rPr>
      </w:pPr>
    </w:p>
    <w:p w14:paraId="00000043" w14:textId="02A3C6DC" w:rsidR="00EF2EEB" w:rsidRDefault="00E57539" w:rsidP="00AC7AFF">
      <w:pPr>
        <w:pStyle w:val="Ttulo1"/>
        <w:jc w:val="center"/>
        <w:rPr>
          <w:rFonts w:ascii="Arial" w:hAnsi="Arial" w:cs="Arial"/>
          <w:b/>
          <w:bCs/>
          <w:color w:val="auto"/>
          <w:sz w:val="24"/>
          <w:szCs w:val="24"/>
        </w:rPr>
      </w:pPr>
      <w:bookmarkStart w:id="15" w:name="_Toc228874206"/>
      <w:r w:rsidRPr="00AC7AFF">
        <w:rPr>
          <w:rFonts w:ascii="Arial" w:hAnsi="Arial" w:cs="Arial"/>
          <w:b/>
          <w:bCs/>
          <w:color w:val="auto"/>
          <w:sz w:val="24"/>
          <w:szCs w:val="24"/>
        </w:rPr>
        <w:lastRenderedPageBreak/>
        <w:t>Generalidades</w:t>
      </w:r>
      <w:bookmarkEnd w:id="15"/>
    </w:p>
    <w:p w14:paraId="239780CF" w14:textId="77777777" w:rsidR="006F5659" w:rsidRPr="006F5659" w:rsidRDefault="006F5659" w:rsidP="006F5659"/>
    <w:p w14:paraId="00000044" w14:textId="77777777" w:rsidR="00EF2EEB" w:rsidRPr="00C14E70" w:rsidRDefault="00E57539" w:rsidP="00DF11C5">
      <w:pPr>
        <w:jc w:val="both"/>
        <w:rPr>
          <w:rFonts w:ascii="Arial" w:hAnsi="Arial" w:cs="Arial"/>
        </w:rPr>
      </w:pPr>
      <w:r w:rsidRPr="00C14E70">
        <w:rPr>
          <w:rFonts w:ascii="Arial" w:hAnsi="Arial" w:cs="Arial"/>
        </w:rPr>
        <w:t>La Caja de Herramientas CiuData+ reúne un conjunto de soluciones técnicas diseñadas para fortalecer la gestión territorial en los municipios. Dentro de esta caja se organizan diferentes kits especializados, cada uno orientado a resolver necesidades específicas de información, administración y toma de decisiones.</w:t>
      </w:r>
    </w:p>
    <w:p w14:paraId="00000045" w14:textId="32B16A82" w:rsidR="00EF2EEB" w:rsidRPr="00C14E70" w:rsidRDefault="00E57539" w:rsidP="00DF11C5">
      <w:pPr>
        <w:jc w:val="both"/>
        <w:rPr>
          <w:rFonts w:ascii="Arial" w:hAnsi="Arial" w:cs="Arial"/>
        </w:rPr>
      </w:pPr>
      <w:r w:rsidRPr="00C14E70">
        <w:rPr>
          <w:rFonts w:ascii="Arial" w:hAnsi="Arial" w:cs="Arial"/>
        </w:rPr>
        <w:t>Entre estos conjuntos se encuentra el KIT de herramientas para la gestión, administración y formalización del inventario municipal de inmuebles, un paquete metodológico que integra los instrumentos y las rutas orientadas a consolidar la información del inventario de manera confiable, así como la representación del procedimiento integral sugerido como guía a incluir en los sistemas de gestión municipal, con el fin de mejorar la administración del suelo fiscal y facilitar procesos de saneamiento, disposición y formalización.</w:t>
      </w:r>
    </w:p>
    <w:p w14:paraId="00000046" w14:textId="77777777" w:rsidR="00EF2EEB" w:rsidRPr="00C14E70" w:rsidRDefault="00E57539" w:rsidP="00DF11C5">
      <w:pPr>
        <w:jc w:val="both"/>
        <w:rPr>
          <w:rFonts w:ascii="Arial" w:hAnsi="Arial" w:cs="Arial"/>
        </w:rPr>
      </w:pPr>
      <w:r w:rsidRPr="00C14E70">
        <w:rPr>
          <w:rFonts w:ascii="Arial" w:hAnsi="Arial" w:cs="Arial"/>
        </w:rPr>
        <w:t>Su estructura responde a los estándares del catastro multipropósito y promueve la interoperabilidad entre catastro, registro y ordenamiento territorial.</w:t>
      </w:r>
    </w:p>
    <w:p w14:paraId="00000047" w14:textId="77777777" w:rsidR="00EF2EEB" w:rsidRPr="00C14E70" w:rsidRDefault="00E57539" w:rsidP="00DF11C5">
      <w:pPr>
        <w:jc w:val="both"/>
        <w:rPr>
          <w:rFonts w:ascii="Arial" w:hAnsi="Arial" w:cs="Arial"/>
        </w:rPr>
      </w:pPr>
      <w:r w:rsidRPr="00C14E70">
        <w:rPr>
          <w:rFonts w:ascii="Arial" w:hAnsi="Arial" w:cs="Arial"/>
        </w:rPr>
        <w:t>Este KIT incorpora el Mapa Completo de Rutas de Saneamiento, una herramienta visual que orienta la selección del procedimiento adecuado según la situación jurídica, catastral y administrativa de cada inmueble. El mapa muestra cómo cada ruta conduce directamente a una de las cartillas que conforman el KIT, permitiendo a los municipios identificar el instrumento técnico correspondiente a su caso y avanzar de manera ordenada, tal como se presenta en la gráfica siguiente.</w:t>
      </w:r>
    </w:p>
    <w:p w14:paraId="00000048" w14:textId="77777777" w:rsidR="00EF2EEB" w:rsidRDefault="00EF2EEB" w:rsidP="00DF11C5">
      <w:pPr>
        <w:spacing w:before="240" w:after="240" w:line="240" w:lineRule="auto"/>
        <w:jc w:val="both"/>
        <w:rPr>
          <w:rFonts w:ascii="Arial" w:eastAsia="Arial" w:hAnsi="Arial" w:cs="Arial"/>
          <w:b/>
          <w:bCs/>
        </w:rPr>
      </w:pPr>
    </w:p>
    <w:p w14:paraId="00000049" w14:textId="77777777" w:rsidR="00EF2EEB" w:rsidRDefault="00EF2EEB">
      <w:pPr>
        <w:spacing w:before="240" w:after="240" w:line="240" w:lineRule="auto"/>
        <w:jc w:val="center"/>
        <w:rPr>
          <w:rFonts w:ascii="Arial" w:eastAsia="Arial" w:hAnsi="Arial" w:cs="Arial"/>
          <w:b/>
          <w:bCs/>
        </w:rPr>
      </w:pPr>
    </w:p>
    <w:p w14:paraId="0000004A" w14:textId="77777777" w:rsidR="00EF2EEB" w:rsidRDefault="00EF2EEB">
      <w:pPr>
        <w:spacing w:before="240" w:after="240" w:line="240" w:lineRule="auto"/>
        <w:jc w:val="center"/>
        <w:rPr>
          <w:rFonts w:ascii="Arial" w:eastAsia="Arial" w:hAnsi="Arial" w:cs="Arial"/>
          <w:b/>
          <w:bCs/>
        </w:rPr>
      </w:pPr>
    </w:p>
    <w:p w14:paraId="0000004B" w14:textId="77777777" w:rsidR="00EF2EEB" w:rsidRDefault="00EF2EEB">
      <w:pPr>
        <w:spacing w:before="240" w:after="240" w:line="240" w:lineRule="auto"/>
        <w:jc w:val="center"/>
        <w:rPr>
          <w:rFonts w:ascii="Arial" w:eastAsia="Arial" w:hAnsi="Arial" w:cs="Arial"/>
          <w:b/>
          <w:bCs/>
        </w:rPr>
      </w:pPr>
    </w:p>
    <w:p w14:paraId="0000004C" w14:textId="77777777" w:rsidR="00EF2EEB" w:rsidRDefault="00EF2EEB">
      <w:pPr>
        <w:spacing w:before="240" w:after="240" w:line="240" w:lineRule="auto"/>
        <w:jc w:val="center"/>
        <w:rPr>
          <w:rFonts w:ascii="Arial" w:eastAsia="Arial" w:hAnsi="Arial" w:cs="Arial"/>
          <w:b/>
          <w:bCs/>
        </w:rPr>
      </w:pPr>
    </w:p>
    <w:p w14:paraId="0000004D" w14:textId="77777777" w:rsidR="00EF2EEB" w:rsidRDefault="00EF2EEB">
      <w:pPr>
        <w:spacing w:before="240" w:after="240" w:line="240" w:lineRule="auto"/>
        <w:jc w:val="center"/>
        <w:rPr>
          <w:rFonts w:ascii="Arial" w:eastAsia="Arial" w:hAnsi="Arial" w:cs="Arial"/>
          <w:b/>
          <w:bCs/>
        </w:rPr>
      </w:pPr>
    </w:p>
    <w:p w14:paraId="0000004E" w14:textId="77777777" w:rsidR="00EF2EEB" w:rsidRDefault="00EF2EEB">
      <w:pPr>
        <w:spacing w:before="240" w:after="240" w:line="240" w:lineRule="auto"/>
        <w:jc w:val="center"/>
        <w:rPr>
          <w:rFonts w:ascii="Arial" w:eastAsia="Arial" w:hAnsi="Arial" w:cs="Arial"/>
          <w:b/>
          <w:bCs/>
        </w:rPr>
      </w:pPr>
    </w:p>
    <w:p w14:paraId="00000052" w14:textId="77777777" w:rsidR="00EF2EEB" w:rsidRDefault="00E57539">
      <w:pPr>
        <w:spacing w:before="240" w:after="240" w:line="240" w:lineRule="auto"/>
        <w:jc w:val="center"/>
        <w:rPr>
          <w:rFonts w:ascii="Arial" w:eastAsia="Arial" w:hAnsi="Arial" w:cs="Arial"/>
          <w:b/>
          <w:bCs/>
          <w:color w:val="000000"/>
        </w:rPr>
      </w:pPr>
      <w:r>
        <w:rPr>
          <w:rFonts w:ascii="Arial" w:eastAsia="Arial" w:hAnsi="Arial" w:cs="Arial"/>
          <w:b/>
          <w:bCs/>
        </w:rPr>
        <w:lastRenderedPageBreak/>
        <w:t xml:space="preserve">Gráfica N° 1. </w:t>
      </w:r>
      <w:r>
        <w:rPr>
          <w:rFonts w:ascii="Arial" w:eastAsia="Arial" w:hAnsi="Arial" w:cs="Arial"/>
          <w:b/>
          <w:bCs/>
          <w:color w:val="000000"/>
        </w:rPr>
        <w:t xml:space="preserve">El KIT de herramientas CiuData+ para la gestión, administración y formalización del patrimonio inmobiliario municipal </w:t>
      </w:r>
    </w:p>
    <w:p w14:paraId="00000053" w14:textId="77777777" w:rsidR="00EF2EEB" w:rsidRDefault="00E57539">
      <w:pPr>
        <w:spacing w:before="240" w:after="240" w:line="240" w:lineRule="auto"/>
        <w:jc w:val="center"/>
        <w:rPr>
          <w:rFonts w:ascii="Arial" w:eastAsia="Arial" w:hAnsi="Arial" w:cs="Arial"/>
          <w:b/>
          <w:bCs/>
          <w:color w:val="000000"/>
        </w:rPr>
      </w:pPr>
      <w:r>
        <w:rPr>
          <w:rFonts w:ascii="Arial" w:eastAsia="Arial" w:hAnsi="Arial" w:cs="Arial"/>
          <w:b/>
          <w:bCs/>
        </w:rPr>
        <w:t xml:space="preserve"> </w:t>
      </w:r>
      <w:sdt>
        <w:sdtPr>
          <w:tag w:val="goog_rdk_0"/>
          <w:id w:val="-1044130006"/>
        </w:sdtPr>
        <w:sdtContent/>
      </w:sdt>
      <w:r>
        <w:rPr>
          <w:rFonts w:ascii="Arial" w:eastAsia="Arial" w:hAnsi="Arial" w:cs="Arial"/>
          <w:b/>
          <w:bCs/>
          <w:noProof/>
        </w:rPr>
        <w:drawing>
          <wp:inline distT="114300" distB="114300" distL="114300" distR="114300" wp14:anchorId="11CB4A05" wp14:editId="3EE350A6">
            <wp:extent cx="5940425" cy="3314700"/>
            <wp:effectExtent l="0" t="0" r="0" b="0"/>
            <wp:docPr id="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2"/>
                    <a:srcRect/>
                    <a:stretch>
                      <a:fillRect/>
                    </a:stretch>
                  </pic:blipFill>
                  <pic:spPr>
                    <a:xfrm>
                      <a:off x="0" y="0"/>
                      <a:ext cx="5940425" cy="3314700"/>
                    </a:xfrm>
                    <a:prstGeom prst="rect">
                      <a:avLst/>
                    </a:prstGeom>
                    <a:ln/>
                  </pic:spPr>
                </pic:pic>
              </a:graphicData>
            </a:graphic>
          </wp:inline>
        </w:drawing>
      </w:r>
    </w:p>
    <w:p w14:paraId="00000054" w14:textId="77777777" w:rsidR="00EF2EEB" w:rsidRDefault="00EF2EEB">
      <w:pPr>
        <w:spacing w:after="0" w:line="240" w:lineRule="auto"/>
        <w:rPr>
          <w:rFonts w:ascii="Times New Roman" w:eastAsia="Times New Roman" w:hAnsi="Times New Roman" w:cs="Times New Roman"/>
        </w:rPr>
      </w:pPr>
      <w:bookmarkStart w:id="16" w:name="_heading=h.8stxp562lnm2" w:colFirst="0" w:colLast="0"/>
      <w:bookmarkEnd w:id="16"/>
    </w:p>
    <w:p w14:paraId="00000055" w14:textId="77777777" w:rsidR="00EF2EEB" w:rsidRPr="005950A0" w:rsidRDefault="00E57539">
      <w:pPr>
        <w:spacing w:after="0" w:line="240" w:lineRule="auto"/>
        <w:jc w:val="center"/>
        <w:rPr>
          <w:rFonts w:ascii="Arial" w:eastAsia="Arial" w:hAnsi="Arial" w:cs="Arial"/>
          <w:b/>
          <w:bCs/>
          <w:color w:val="000000"/>
          <w:sz w:val="18"/>
          <w:szCs w:val="18"/>
        </w:rPr>
      </w:pPr>
      <w:r w:rsidRPr="005950A0">
        <w:rPr>
          <w:rFonts w:ascii="Arial" w:eastAsia="Arial" w:hAnsi="Arial" w:cs="Arial"/>
          <w:color w:val="000000"/>
          <w:sz w:val="18"/>
          <w:szCs w:val="18"/>
        </w:rPr>
        <w:t>Fuente: elaboración propia</w:t>
      </w:r>
    </w:p>
    <w:p w14:paraId="361E3B5C" w14:textId="77777777" w:rsidR="005950A0" w:rsidRDefault="005950A0" w:rsidP="005950A0">
      <w:pPr>
        <w:spacing w:before="100" w:beforeAutospacing="1" w:after="100" w:afterAutospacing="1" w:line="240" w:lineRule="auto"/>
        <w:jc w:val="both"/>
        <w:rPr>
          <w:rFonts w:ascii="Arial" w:eastAsia="Times New Roman" w:hAnsi="Arial" w:cs="Arial"/>
          <w:b/>
          <w:bCs/>
          <w:color w:val="000000"/>
          <w:lang w:eastAsia="es-ES_tradnl"/>
        </w:rPr>
      </w:pPr>
    </w:p>
    <w:p w14:paraId="30B2BFFF" w14:textId="77777777" w:rsidR="005950A0" w:rsidRDefault="005950A0" w:rsidP="005950A0">
      <w:pPr>
        <w:spacing w:before="100" w:beforeAutospacing="1" w:after="100" w:afterAutospacing="1" w:line="240" w:lineRule="auto"/>
        <w:jc w:val="both"/>
        <w:rPr>
          <w:rFonts w:ascii="Arial" w:eastAsia="Times New Roman" w:hAnsi="Arial" w:cs="Arial"/>
          <w:b/>
          <w:bCs/>
          <w:color w:val="000000"/>
          <w:lang w:eastAsia="es-ES_tradnl"/>
        </w:rPr>
      </w:pPr>
    </w:p>
    <w:p w14:paraId="4632F7CF" w14:textId="77777777" w:rsidR="005950A0" w:rsidRDefault="005950A0" w:rsidP="005950A0">
      <w:pPr>
        <w:spacing w:before="100" w:beforeAutospacing="1" w:after="100" w:afterAutospacing="1" w:line="240" w:lineRule="auto"/>
        <w:jc w:val="both"/>
        <w:rPr>
          <w:rFonts w:ascii="Arial" w:eastAsia="Times New Roman" w:hAnsi="Arial" w:cs="Arial"/>
          <w:b/>
          <w:bCs/>
          <w:color w:val="000000"/>
          <w:lang w:eastAsia="es-ES_tradnl"/>
        </w:rPr>
      </w:pPr>
    </w:p>
    <w:p w14:paraId="068B0B62" w14:textId="77777777" w:rsidR="005950A0" w:rsidRDefault="005950A0" w:rsidP="005950A0">
      <w:pPr>
        <w:spacing w:before="100" w:beforeAutospacing="1" w:after="100" w:afterAutospacing="1" w:line="240" w:lineRule="auto"/>
        <w:jc w:val="both"/>
        <w:rPr>
          <w:rFonts w:ascii="Arial" w:eastAsia="Times New Roman" w:hAnsi="Arial" w:cs="Arial"/>
          <w:b/>
          <w:bCs/>
          <w:color w:val="000000"/>
          <w:lang w:eastAsia="es-ES_tradnl"/>
        </w:rPr>
      </w:pPr>
    </w:p>
    <w:p w14:paraId="185494C0" w14:textId="77777777" w:rsidR="004B2B30" w:rsidRDefault="004B2B30" w:rsidP="005950A0">
      <w:pPr>
        <w:spacing w:before="100" w:beforeAutospacing="1" w:after="100" w:afterAutospacing="1" w:line="240" w:lineRule="auto"/>
        <w:jc w:val="both"/>
        <w:rPr>
          <w:rFonts w:ascii="Arial" w:eastAsia="Times New Roman" w:hAnsi="Arial" w:cs="Arial"/>
          <w:b/>
          <w:bCs/>
          <w:color w:val="000000"/>
          <w:lang w:eastAsia="es-ES_tradnl"/>
        </w:rPr>
      </w:pPr>
    </w:p>
    <w:p w14:paraId="1C1E6556" w14:textId="77777777" w:rsidR="004B2B30" w:rsidRDefault="004B2B30" w:rsidP="005950A0">
      <w:pPr>
        <w:spacing w:before="100" w:beforeAutospacing="1" w:after="100" w:afterAutospacing="1" w:line="240" w:lineRule="auto"/>
        <w:jc w:val="both"/>
        <w:rPr>
          <w:rFonts w:ascii="Arial" w:eastAsia="Times New Roman" w:hAnsi="Arial" w:cs="Arial"/>
          <w:b/>
          <w:bCs/>
          <w:color w:val="000000"/>
          <w:lang w:eastAsia="es-ES_tradnl"/>
        </w:rPr>
      </w:pPr>
    </w:p>
    <w:p w14:paraId="3C24A74E" w14:textId="77777777" w:rsidR="005950A0" w:rsidRDefault="005950A0" w:rsidP="005950A0">
      <w:pPr>
        <w:spacing w:before="100" w:beforeAutospacing="1" w:after="100" w:afterAutospacing="1" w:line="240" w:lineRule="auto"/>
        <w:jc w:val="both"/>
        <w:rPr>
          <w:rFonts w:ascii="Arial" w:eastAsia="Times New Roman" w:hAnsi="Arial" w:cs="Arial"/>
          <w:b/>
          <w:bCs/>
          <w:color w:val="000000"/>
          <w:lang w:eastAsia="es-ES_tradnl"/>
        </w:rPr>
      </w:pPr>
    </w:p>
    <w:p w14:paraId="55B7E638" w14:textId="6C33B8E6" w:rsidR="005950A0" w:rsidRPr="00DF11C5" w:rsidRDefault="005950A0" w:rsidP="00DF11C5">
      <w:pPr>
        <w:pStyle w:val="Ttulo1"/>
        <w:rPr>
          <w:rFonts w:ascii="Arial" w:hAnsi="Arial" w:cs="Arial"/>
          <w:b/>
          <w:bCs/>
          <w:color w:val="auto"/>
          <w:sz w:val="24"/>
          <w:szCs w:val="24"/>
          <w:lang w:eastAsia="es-ES_tradnl"/>
        </w:rPr>
      </w:pPr>
      <w:bookmarkStart w:id="17" w:name="_Toc228874207"/>
      <w:r w:rsidRPr="00DF11C5">
        <w:rPr>
          <w:rFonts w:ascii="Arial" w:hAnsi="Arial" w:cs="Arial"/>
          <w:b/>
          <w:bCs/>
          <w:color w:val="auto"/>
          <w:sz w:val="24"/>
          <w:szCs w:val="24"/>
          <w:lang w:eastAsia="es-ES_tradnl"/>
        </w:rPr>
        <w:lastRenderedPageBreak/>
        <w:t>Resumen</w:t>
      </w:r>
      <w:bookmarkEnd w:id="17"/>
      <w:r w:rsidRPr="00DF11C5">
        <w:rPr>
          <w:rFonts w:ascii="Arial" w:hAnsi="Arial" w:cs="Arial"/>
          <w:b/>
          <w:bCs/>
          <w:color w:val="auto"/>
          <w:sz w:val="24"/>
          <w:szCs w:val="24"/>
          <w:lang w:eastAsia="es-ES_tradnl"/>
        </w:rPr>
        <w:t xml:space="preserve"> </w:t>
      </w:r>
    </w:p>
    <w:p w14:paraId="0B07DCAC" w14:textId="77777777" w:rsidR="005950A0" w:rsidRPr="00722F57" w:rsidRDefault="005950A0" w:rsidP="005950A0">
      <w:p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color w:val="000000"/>
          <w:lang w:eastAsia="es-ES_tradnl"/>
        </w:rPr>
        <w:t xml:space="preserve">La Cartilla 1 del KIT de </w:t>
      </w:r>
      <w:r>
        <w:rPr>
          <w:rFonts w:ascii="Arial" w:eastAsia="Times New Roman" w:hAnsi="Arial" w:cs="Arial"/>
          <w:color w:val="000000"/>
          <w:lang w:eastAsia="es-ES_tradnl"/>
        </w:rPr>
        <w:t>H</w:t>
      </w:r>
      <w:r w:rsidRPr="00722F57">
        <w:rPr>
          <w:rFonts w:ascii="Arial" w:eastAsia="Times New Roman" w:hAnsi="Arial" w:cs="Arial"/>
          <w:color w:val="000000"/>
          <w:lang w:eastAsia="es-ES_tradnl"/>
        </w:rPr>
        <w:t>erramientas CiuData+ establece una metodología clara</w:t>
      </w:r>
      <w:r>
        <w:rPr>
          <w:rFonts w:ascii="Arial" w:eastAsia="Times New Roman" w:hAnsi="Arial" w:cs="Arial"/>
          <w:color w:val="000000"/>
          <w:lang w:eastAsia="es-ES_tradnl"/>
        </w:rPr>
        <w:t xml:space="preserve"> y </w:t>
      </w:r>
      <w:r w:rsidRPr="00722F57">
        <w:rPr>
          <w:rFonts w:ascii="Arial" w:eastAsia="Times New Roman" w:hAnsi="Arial" w:cs="Arial"/>
          <w:color w:val="000000"/>
          <w:lang w:eastAsia="es-ES_tradnl"/>
        </w:rPr>
        <w:t>práctica para la conformación del Inventario Municipal</w:t>
      </w:r>
      <w:r>
        <w:rPr>
          <w:rFonts w:ascii="Arial" w:eastAsia="Times New Roman" w:hAnsi="Arial" w:cs="Arial"/>
          <w:color w:val="000000"/>
          <w:lang w:eastAsia="es-ES_tradnl"/>
        </w:rPr>
        <w:t xml:space="preserve"> Inmobiliario</w:t>
      </w:r>
      <w:r w:rsidRPr="00722F57">
        <w:rPr>
          <w:rFonts w:ascii="Arial" w:eastAsia="Times New Roman" w:hAnsi="Arial" w:cs="Arial"/>
          <w:color w:val="000000"/>
          <w:lang w:eastAsia="es-ES_tradnl"/>
        </w:rPr>
        <w:t>, entendido como el registro organizado de los bienes bajo propiedad, administración o responsabilidad del municipio. Este instrumento constituye un insumo estratégico para fortalecer la gestión del suelo fiscal, apoyar los procesos de formalización y legalización de predios, proteger el espacio público y mejorar la toma de decisiones territoriales con base en información confiable.</w:t>
      </w:r>
    </w:p>
    <w:p w14:paraId="47A95C4B" w14:textId="77777777" w:rsidR="005950A0" w:rsidRPr="00722F57" w:rsidRDefault="005950A0" w:rsidP="005950A0">
      <w:p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color w:val="000000"/>
          <w:lang w:eastAsia="es-ES_tradnl"/>
        </w:rPr>
        <w:t>El documento propone un enfoque progresivo que permite a los municipios avanzar de acuerdo con sus capacidades técnicas e institucionales, partiendo de la información disponible</w:t>
      </w:r>
      <w:r>
        <w:rPr>
          <w:rFonts w:ascii="Arial" w:eastAsia="Times New Roman" w:hAnsi="Arial" w:cs="Arial"/>
          <w:color w:val="000000"/>
          <w:lang w:eastAsia="es-ES_tradnl"/>
        </w:rPr>
        <w:t xml:space="preserve">, </w:t>
      </w:r>
      <w:r w:rsidRPr="00722F57">
        <w:rPr>
          <w:rFonts w:ascii="Arial" w:eastAsia="Times New Roman" w:hAnsi="Arial" w:cs="Arial"/>
          <w:color w:val="000000"/>
          <w:lang w:eastAsia="es-ES_tradnl"/>
        </w:rPr>
        <w:t>principalmente la base catastral y complementándola con información registral</w:t>
      </w:r>
      <w:r>
        <w:rPr>
          <w:rFonts w:ascii="Arial" w:eastAsia="Times New Roman" w:hAnsi="Arial" w:cs="Arial"/>
          <w:color w:val="000000"/>
          <w:lang w:eastAsia="es-ES_tradnl"/>
        </w:rPr>
        <w:t xml:space="preserve"> y</w:t>
      </w:r>
      <w:r w:rsidRPr="00722F57">
        <w:rPr>
          <w:rFonts w:ascii="Arial" w:eastAsia="Times New Roman" w:hAnsi="Arial" w:cs="Arial"/>
          <w:color w:val="000000"/>
          <w:lang w:eastAsia="es-ES_tradnl"/>
        </w:rPr>
        <w:t xml:space="preserve"> administrativa. A partir de este proceso, se consolida una base de datos estructurada que integra atributos jurídicos, físicos y administrativos de cada inmueble, bajo criterios de estandarización que facilitan su interoperabilidad y posible integración a Sistemas de Información Geográfica (SIG).</w:t>
      </w:r>
      <w:r>
        <w:rPr>
          <w:rFonts w:ascii="Arial" w:eastAsia="Times New Roman" w:hAnsi="Arial" w:cs="Arial"/>
          <w:color w:val="000000"/>
          <w:lang w:eastAsia="es-ES_tradnl"/>
        </w:rPr>
        <w:t xml:space="preserve"> </w:t>
      </w:r>
    </w:p>
    <w:p w14:paraId="474690B9" w14:textId="77777777" w:rsidR="005950A0" w:rsidRPr="00722F57" w:rsidRDefault="005950A0" w:rsidP="005950A0">
      <w:p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color w:val="000000"/>
          <w:lang w:eastAsia="es-ES_tradnl"/>
        </w:rPr>
        <w:t>La cartilla define una estructura mínima de atributos que garantiza la organización, actualización y trazabilidad de la información</w:t>
      </w:r>
      <w:r>
        <w:rPr>
          <w:rFonts w:ascii="Arial" w:eastAsia="Times New Roman" w:hAnsi="Arial" w:cs="Arial"/>
          <w:color w:val="000000"/>
          <w:lang w:eastAsia="es-ES_tradnl"/>
        </w:rPr>
        <w:t>, a</w:t>
      </w:r>
      <w:r w:rsidRPr="00722F57">
        <w:rPr>
          <w:rFonts w:ascii="Arial" w:eastAsia="Times New Roman" w:hAnsi="Arial" w:cs="Arial"/>
          <w:color w:val="000000"/>
          <w:lang w:eastAsia="es-ES_tradnl"/>
        </w:rPr>
        <w:t>sí</w:t>
      </w:r>
      <w:r>
        <w:rPr>
          <w:rFonts w:ascii="Arial" w:eastAsia="Times New Roman" w:hAnsi="Arial" w:cs="Arial"/>
          <w:color w:val="000000"/>
          <w:lang w:eastAsia="es-ES_tradnl"/>
        </w:rPr>
        <w:t xml:space="preserve"> </w:t>
      </w:r>
      <w:r w:rsidRPr="00722F57">
        <w:rPr>
          <w:rFonts w:ascii="Arial" w:eastAsia="Times New Roman" w:hAnsi="Arial" w:cs="Arial"/>
          <w:color w:val="000000"/>
          <w:lang w:eastAsia="es-ES_tradnl"/>
        </w:rPr>
        <w:t>mismo, promueve su articulación con herramientas SIG para la georreferenciación de los predios, la visualización territorial y el análisis espacial, facilitando la identificación de inconsistencias, vacíos de información y áreas prioritarias de intervención.</w:t>
      </w:r>
    </w:p>
    <w:p w14:paraId="792ADD20" w14:textId="77777777" w:rsidR="005950A0" w:rsidRPr="00722F57" w:rsidRDefault="005950A0" w:rsidP="005950A0">
      <w:p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color w:val="000000"/>
          <w:lang w:eastAsia="es-ES_tradnl"/>
        </w:rPr>
        <w:t>Metodológicamente, la cartilla desarrolla cinco pasos secuenciales para la conformación del inventario:</w:t>
      </w:r>
    </w:p>
    <w:p w14:paraId="7C71FF3F" w14:textId="77777777" w:rsidR="005950A0" w:rsidRPr="00722F57" w:rsidRDefault="005950A0" w:rsidP="005950A0">
      <w:pPr>
        <w:numPr>
          <w:ilvl w:val="0"/>
          <w:numId w:val="3"/>
        </w:num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b/>
          <w:bCs/>
          <w:color w:val="000000"/>
          <w:lang w:eastAsia="es-ES_tradnl"/>
        </w:rPr>
        <w:t>Obtención y revisión de la información disponible:</w:t>
      </w:r>
      <w:r w:rsidRPr="00722F57">
        <w:rPr>
          <w:rFonts w:ascii="Arial" w:eastAsia="Times New Roman" w:hAnsi="Arial" w:cs="Arial"/>
          <w:color w:val="000000"/>
          <w:lang w:eastAsia="es-ES_tradnl"/>
        </w:rPr>
        <w:t> Se recopilan las fuentes existentes, principalmente la base catastral (gráfica y alfanumérica), complementada con bases registrales, archivos administrativos, inventarios previos y otros insumos locales. Este paso permite establecer un punto de partida realista sobre la información disponible en el municipio.</w:t>
      </w:r>
    </w:p>
    <w:p w14:paraId="3C5A0002" w14:textId="77777777" w:rsidR="005950A0" w:rsidRPr="00722F57" w:rsidRDefault="005950A0" w:rsidP="005950A0">
      <w:pPr>
        <w:numPr>
          <w:ilvl w:val="0"/>
          <w:numId w:val="3"/>
        </w:num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b/>
          <w:bCs/>
          <w:color w:val="000000"/>
          <w:lang w:eastAsia="es-ES_tradnl"/>
        </w:rPr>
        <w:t>Depuración y actualización de la información:</w:t>
      </w:r>
      <w:r w:rsidRPr="00722F57">
        <w:rPr>
          <w:rFonts w:ascii="Arial" w:eastAsia="Times New Roman" w:hAnsi="Arial" w:cs="Arial"/>
          <w:color w:val="000000"/>
          <w:lang w:eastAsia="es-ES_tradnl"/>
        </w:rPr>
        <w:t xml:space="preserve"> Se mejora la calidad de los datos mediante la verificación de la matrícula inmobiliaria, la revisión de la destinación económica y la identificación de inconsistencias entre catastro y registro. </w:t>
      </w:r>
    </w:p>
    <w:p w14:paraId="63BF2AC2" w14:textId="77777777" w:rsidR="005950A0" w:rsidRPr="00722F57" w:rsidRDefault="005950A0" w:rsidP="005950A0">
      <w:pPr>
        <w:numPr>
          <w:ilvl w:val="0"/>
          <w:numId w:val="3"/>
        </w:num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b/>
          <w:bCs/>
          <w:color w:val="000000"/>
          <w:lang w:eastAsia="es-ES_tradnl"/>
        </w:rPr>
        <w:t xml:space="preserve">Clasificación </w:t>
      </w:r>
      <w:r>
        <w:rPr>
          <w:rFonts w:ascii="Arial" w:eastAsia="Times New Roman" w:hAnsi="Arial" w:cs="Arial"/>
          <w:b/>
          <w:bCs/>
          <w:color w:val="000000"/>
          <w:lang w:eastAsia="es-ES_tradnl"/>
        </w:rPr>
        <w:t xml:space="preserve">preliminar </w:t>
      </w:r>
      <w:r w:rsidRPr="00722F57">
        <w:rPr>
          <w:rFonts w:ascii="Arial" w:eastAsia="Times New Roman" w:hAnsi="Arial" w:cs="Arial"/>
          <w:b/>
          <w:bCs/>
          <w:color w:val="000000"/>
          <w:lang w:eastAsia="es-ES_tradnl"/>
        </w:rPr>
        <w:t>de los bienes inmuebles</w:t>
      </w:r>
      <w:r>
        <w:rPr>
          <w:rFonts w:ascii="Arial" w:eastAsia="Times New Roman" w:hAnsi="Arial" w:cs="Arial"/>
          <w:b/>
          <w:bCs/>
          <w:color w:val="000000"/>
          <w:lang w:eastAsia="es-ES_tradnl"/>
        </w:rPr>
        <w:t xml:space="preserve"> según su naturaleza</w:t>
      </w:r>
      <w:r w:rsidRPr="00722F57">
        <w:rPr>
          <w:rFonts w:ascii="Arial" w:eastAsia="Times New Roman" w:hAnsi="Arial" w:cs="Arial"/>
          <w:b/>
          <w:bCs/>
          <w:color w:val="000000"/>
          <w:lang w:eastAsia="es-ES_tradnl"/>
        </w:rPr>
        <w:t>:</w:t>
      </w:r>
      <w:r w:rsidRPr="00722F57">
        <w:rPr>
          <w:rFonts w:ascii="Arial" w:eastAsia="Times New Roman" w:hAnsi="Arial" w:cs="Arial"/>
          <w:color w:val="000000"/>
          <w:lang w:eastAsia="es-ES_tradnl"/>
        </w:rPr>
        <w:t xml:space="preserve"> Se realiza una categorización preliminar de los predios según su naturaleza (bienes de uso público, fiscales, baldíos urbanos o privados), a partir del análisis de la </w:t>
      </w:r>
      <w:r w:rsidRPr="00722F57">
        <w:rPr>
          <w:rFonts w:ascii="Arial" w:eastAsia="Times New Roman" w:hAnsi="Arial" w:cs="Arial"/>
          <w:color w:val="000000"/>
          <w:lang w:eastAsia="es-ES_tradnl"/>
        </w:rPr>
        <w:lastRenderedPageBreak/>
        <w:t>información técnica, jurídica y normativa. Esta clasificación permite identificar la condición general del inmueble y orientar su gestión posterior.</w:t>
      </w:r>
    </w:p>
    <w:p w14:paraId="37D8531B" w14:textId="77777777" w:rsidR="005950A0" w:rsidRPr="00722F57" w:rsidRDefault="005950A0" w:rsidP="005950A0">
      <w:pPr>
        <w:numPr>
          <w:ilvl w:val="0"/>
          <w:numId w:val="3"/>
        </w:num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b/>
          <w:bCs/>
          <w:color w:val="000000"/>
          <w:lang w:eastAsia="es-ES_tradnl"/>
        </w:rPr>
        <w:t>Clasificación del suelo:</w:t>
      </w:r>
      <w:r w:rsidRPr="00722F57">
        <w:rPr>
          <w:rFonts w:ascii="Arial" w:eastAsia="Times New Roman" w:hAnsi="Arial" w:cs="Arial"/>
          <w:color w:val="000000"/>
          <w:lang w:eastAsia="es-ES_tradnl"/>
        </w:rPr>
        <w:t> Se determina si los predios se ubican en suelo urbano</w:t>
      </w:r>
      <w:r>
        <w:rPr>
          <w:rFonts w:ascii="Arial" w:eastAsia="Times New Roman" w:hAnsi="Arial" w:cs="Arial"/>
          <w:color w:val="000000"/>
          <w:lang w:eastAsia="es-ES_tradnl"/>
        </w:rPr>
        <w:t xml:space="preserve"> o</w:t>
      </w:r>
      <w:r w:rsidRPr="00722F57">
        <w:rPr>
          <w:rFonts w:ascii="Arial" w:eastAsia="Times New Roman" w:hAnsi="Arial" w:cs="Arial"/>
          <w:color w:val="000000"/>
          <w:lang w:eastAsia="es-ES_tradnl"/>
        </w:rPr>
        <w:t xml:space="preserve"> rural, contrastando la información catastral con la cartografía oficial del instrumento de ordenamiento territorial vigente (POT, PBOT o EOT). Este paso asegura la coherencia entre el inventario y la normativa territorial.</w:t>
      </w:r>
    </w:p>
    <w:p w14:paraId="00F90B9A" w14:textId="77777777" w:rsidR="005950A0" w:rsidRPr="00722F57" w:rsidRDefault="005950A0" w:rsidP="005950A0">
      <w:pPr>
        <w:numPr>
          <w:ilvl w:val="0"/>
          <w:numId w:val="3"/>
        </w:num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b/>
          <w:bCs/>
          <w:color w:val="000000"/>
          <w:lang w:eastAsia="es-ES_tradnl"/>
        </w:rPr>
        <w:t>Conformación del inventario:</w:t>
      </w:r>
      <w:r w:rsidRPr="00722F57">
        <w:rPr>
          <w:rFonts w:ascii="Arial" w:eastAsia="Times New Roman" w:hAnsi="Arial" w:cs="Arial"/>
          <w:color w:val="000000"/>
          <w:lang w:eastAsia="es-ES_tradnl"/>
        </w:rPr>
        <w:t> Se consolida la información en un formato organizado y funcional, que puede ir desde hojas de cálculo hasta bases de datos geográficas. Este inventario debe garantizar la trazabilidad, actualización y consulta permanente, y puede escalar hacia entornos SIG según las capacidades del municipio.</w:t>
      </w:r>
    </w:p>
    <w:p w14:paraId="6D3ECFC9" w14:textId="77777777" w:rsidR="005950A0" w:rsidRDefault="005950A0" w:rsidP="005950A0">
      <w:pPr>
        <w:spacing w:before="100" w:beforeAutospacing="1" w:after="100" w:afterAutospacing="1" w:line="240" w:lineRule="auto"/>
        <w:jc w:val="both"/>
        <w:rPr>
          <w:rFonts w:ascii="Arial" w:eastAsia="Times New Roman" w:hAnsi="Arial" w:cs="Arial"/>
          <w:color w:val="000000"/>
          <w:lang w:eastAsia="es-ES_tradnl"/>
        </w:rPr>
      </w:pPr>
      <w:r w:rsidRPr="00722F57">
        <w:rPr>
          <w:rFonts w:ascii="Arial" w:eastAsia="Times New Roman" w:hAnsi="Arial" w:cs="Arial"/>
          <w:color w:val="000000"/>
          <w:lang w:eastAsia="es-ES_tradnl"/>
        </w:rPr>
        <w:t xml:space="preserve">Finalmente, el inventario consolidado se convierte en la base para la asignación de rutas de saneamiento jurídico y administrativo, permitiendo identificar los predios que requieren intervención y remitirlos a las cartillas especializadas </w:t>
      </w:r>
      <w:r>
        <w:rPr>
          <w:rFonts w:ascii="Arial" w:eastAsia="Times New Roman" w:hAnsi="Arial" w:cs="Arial"/>
          <w:color w:val="000000"/>
          <w:lang w:eastAsia="es-ES_tradnl"/>
        </w:rPr>
        <w:t xml:space="preserve">que conforman el </w:t>
      </w:r>
      <w:r w:rsidRPr="00722F57">
        <w:rPr>
          <w:rFonts w:ascii="Arial" w:eastAsia="Times New Roman" w:hAnsi="Arial" w:cs="Arial"/>
          <w:color w:val="000000"/>
          <w:lang w:eastAsia="es-ES_tradnl"/>
        </w:rPr>
        <w:t>K</w:t>
      </w:r>
      <w:r>
        <w:rPr>
          <w:rFonts w:ascii="Arial" w:eastAsia="Times New Roman" w:hAnsi="Arial" w:cs="Arial"/>
          <w:color w:val="000000"/>
          <w:lang w:eastAsia="es-ES_tradnl"/>
        </w:rPr>
        <w:t>it de Herramientas</w:t>
      </w:r>
      <w:r w:rsidRPr="00722F57">
        <w:rPr>
          <w:rFonts w:ascii="Arial" w:eastAsia="Times New Roman" w:hAnsi="Arial" w:cs="Arial"/>
          <w:color w:val="000000"/>
          <w:lang w:eastAsia="es-ES_tradnl"/>
        </w:rPr>
        <w:t xml:space="preserve">. De esta manera, el inventario </w:t>
      </w:r>
      <w:r>
        <w:rPr>
          <w:rFonts w:ascii="Arial" w:eastAsia="Times New Roman" w:hAnsi="Arial" w:cs="Arial"/>
          <w:color w:val="000000"/>
          <w:lang w:eastAsia="es-ES_tradnl"/>
        </w:rPr>
        <w:t xml:space="preserve">municipal inmobiliario </w:t>
      </w:r>
      <w:r w:rsidRPr="00722F57">
        <w:rPr>
          <w:rFonts w:ascii="Arial" w:eastAsia="Times New Roman" w:hAnsi="Arial" w:cs="Arial"/>
          <w:color w:val="000000"/>
          <w:lang w:eastAsia="es-ES_tradnl"/>
        </w:rPr>
        <w:t>se posiciona como una herramienta central para la gestión integral del territorio, promoviendo la articulación entre catastro, registro y ordenamiento territorial, y fortaleciendo la administración eficiente y transparente del patrimonio inmobiliario municipal.</w:t>
      </w:r>
    </w:p>
    <w:p w14:paraId="48C32677" w14:textId="77777777" w:rsidR="008D17E8" w:rsidRDefault="008D17E8" w:rsidP="005950A0">
      <w:pPr>
        <w:spacing w:before="100" w:beforeAutospacing="1" w:after="100" w:afterAutospacing="1" w:line="240" w:lineRule="auto"/>
        <w:jc w:val="both"/>
        <w:rPr>
          <w:rFonts w:ascii="Arial" w:eastAsia="Times New Roman" w:hAnsi="Arial" w:cs="Arial"/>
          <w:color w:val="000000"/>
          <w:lang w:eastAsia="es-ES_tradnl"/>
        </w:rPr>
      </w:pPr>
    </w:p>
    <w:p w14:paraId="1267625A" w14:textId="77777777" w:rsidR="008D17E8" w:rsidRDefault="008D17E8" w:rsidP="005950A0">
      <w:pPr>
        <w:spacing w:before="100" w:beforeAutospacing="1" w:after="100" w:afterAutospacing="1" w:line="240" w:lineRule="auto"/>
        <w:jc w:val="both"/>
        <w:rPr>
          <w:rFonts w:ascii="Arial" w:eastAsia="Times New Roman" w:hAnsi="Arial" w:cs="Arial"/>
          <w:color w:val="000000"/>
          <w:lang w:eastAsia="es-ES_tradnl"/>
        </w:rPr>
      </w:pPr>
    </w:p>
    <w:p w14:paraId="3B09197C" w14:textId="77777777" w:rsidR="008D17E8" w:rsidRDefault="008D17E8" w:rsidP="005950A0">
      <w:pPr>
        <w:spacing w:before="100" w:beforeAutospacing="1" w:after="100" w:afterAutospacing="1" w:line="240" w:lineRule="auto"/>
        <w:jc w:val="both"/>
        <w:rPr>
          <w:rFonts w:ascii="Arial" w:eastAsia="Times New Roman" w:hAnsi="Arial" w:cs="Arial"/>
          <w:color w:val="000000"/>
          <w:lang w:eastAsia="es-ES_tradnl"/>
        </w:rPr>
      </w:pPr>
    </w:p>
    <w:p w14:paraId="5A466910" w14:textId="77777777" w:rsidR="008D17E8" w:rsidRDefault="008D17E8" w:rsidP="005950A0">
      <w:pPr>
        <w:spacing w:before="100" w:beforeAutospacing="1" w:after="100" w:afterAutospacing="1" w:line="240" w:lineRule="auto"/>
        <w:jc w:val="both"/>
        <w:rPr>
          <w:rFonts w:ascii="Arial" w:eastAsia="Times New Roman" w:hAnsi="Arial" w:cs="Arial"/>
          <w:color w:val="000000"/>
          <w:lang w:eastAsia="es-ES_tradnl"/>
        </w:rPr>
      </w:pPr>
    </w:p>
    <w:p w14:paraId="68FF1382" w14:textId="77777777" w:rsidR="008D17E8" w:rsidRDefault="008D17E8" w:rsidP="005950A0">
      <w:pPr>
        <w:spacing w:before="100" w:beforeAutospacing="1" w:after="100" w:afterAutospacing="1" w:line="240" w:lineRule="auto"/>
        <w:jc w:val="both"/>
        <w:rPr>
          <w:rFonts w:ascii="Arial" w:eastAsia="Times New Roman" w:hAnsi="Arial" w:cs="Arial"/>
          <w:color w:val="000000"/>
          <w:lang w:eastAsia="es-ES_tradnl"/>
        </w:rPr>
      </w:pPr>
    </w:p>
    <w:p w14:paraId="32CFD1CB" w14:textId="77777777" w:rsidR="008D17E8" w:rsidRDefault="008D17E8" w:rsidP="005950A0">
      <w:pPr>
        <w:spacing w:before="100" w:beforeAutospacing="1" w:after="100" w:afterAutospacing="1" w:line="240" w:lineRule="auto"/>
        <w:jc w:val="both"/>
        <w:rPr>
          <w:rFonts w:ascii="Arial" w:eastAsia="Times New Roman" w:hAnsi="Arial" w:cs="Arial"/>
          <w:color w:val="000000"/>
          <w:lang w:eastAsia="es-ES_tradnl"/>
        </w:rPr>
      </w:pPr>
    </w:p>
    <w:p w14:paraId="279CF5A6" w14:textId="77777777" w:rsidR="008D17E8" w:rsidRDefault="008D17E8" w:rsidP="005950A0">
      <w:pPr>
        <w:spacing w:before="100" w:beforeAutospacing="1" w:after="100" w:afterAutospacing="1" w:line="240" w:lineRule="auto"/>
        <w:jc w:val="both"/>
        <w:rPr>
          <w:rFonts w:ascii="Arial" w:eastAsia="Times New Roman" w:hAnsi="Arial" w:cs="Arial"/>
          <w:color w:val="000000"/>
          <w:lang w:eastAsia="es-ES_tradnl"/>
        </w:rPr>
      </w:pPr>
    </w:p>
    <w:p w14:paraId="54F6A957" w14:textId="77777777" w:rsidR="008D17E8" w:rsidRDefault="008D17E8" w:rsidP="005950A0">
      <w:pPr>
        <w:spacing w:before="100" w:beforeAutospacing="1" w:after="100" w:afterAutospacing="1" w:line="240" w:lineRule="auto"/>
        <w:jc w:val="both"/>
        <w:rPr>
          <w:rFonts w:ascii="Arial" w:eastAsia="Times New Roman" w:hAnsi="Arial" w:cs="Arial"/>
          <w:color w:val="000000"/>
          <w:lang w:eastAsia="es-ES_tradnl"/>
        </w:rPr>
      </w:pPr>
    </w:p>
    <w:p w14:paraId="342DFD80" w14:textId="77777777" w:rsidR="008D17E8" w:rsidRPr="00722F57" w:rsidRDefault="008D17E8" w:rsidP="005950A0">
      <w:pPr>
        <w:spacing w:before="100" w:beforeAutospacing="1" w:after="100" w:afterAutospacing="1" w:line="240" w:lineRule="auto"/>
        <w:jc w:val="both"/>
        <w:rPr>
          <w:rFonts w:ascii="Arial" w:eastAsia="Times New Roman" w:hAnsi="Arial" w:cs="Arial"/>
          <w:color w:val="000000"/>
          <w:lang w:eastAsia="es-ES_tradnl"/>
        </w:rPr>
      </w:pPr>
    </w:p>
    <w:p w14:paraId="00000056" w14:textId="0B956934" w:rsidR="00EF2EEB" w:rsidRDefault="00E57539" w:rsidP="00E64BAE">
      <w:pPr>
        <w:pStyle w:val="Ttulo1"/>
        <w:rPr>
          <w:rFonts w:ascii="Arial" w:hAnsi="Arial" w:cs="Arial"/>
          <w:b/>
          <w:bCs/>
          <w:color w:val="auto"/>
          <w:sz w:val="24"/>
          <w:szCs w:val="24"/>
        </w:rPr>
      </w:pPr>
      <w:bookmarkStart w:id="18" w:name="_Toc228874208"/>
      <w:r w:rsidRPr="00E64BAE">
        <w:rPr>
          <w:rFonts w:ascii="Arial" w:hAnsi="Arial" w:cs="Arial"/>
          <w:b/>
          <w:bCs/>
          <w:color w:val="auto"/>
          <w:sz w:val="24"/>
          <w:szCs w:val="24"/>
        </w:rPr>
        <w:lastRenderedPageBreak/>
        <w:t>I</w:t>
      </w:r>
      <w:r w:rsidR="00AF316C" w:rsidRPr="00E64BAE">
        <w:rPr>
          <w:rFonts w:ascii="Arial" w:hAnsi="Arial" w:cs="Arial"/>
          <w:b/>
          <w:bCs/>
          <w:color w:val="auto"/>
          <w:sz w:val="24"/>
          <w:szCs w:val="24"/>
        </w:rPr>
        <w:t>ntroducción</w:t>
      </w:r>
      <w:bookmarkEnd w:id="18"/>
      <w:r w:rsidR="00AF316C" w:rsidRPr="00E64BAE">
        <w:rPr>
          <w:rFonts w:ascii="Arial" w:hAnsi="Arial" w:cs="Arial"/>
          <w:b/>
          <w:bCs/>
          <w:color w:val="auto"/>
          <w:sz w:val="24"/>
          <w:szCs w:val="24"/>
        </w:rPr>
        <w:t xml:space="preserve"> </w:t>
      </w:r>
    </w:p>
    <w:p w14:paraId="711FD002" w14:textId="77777777" w:rsidR="006F5659" w:rsidRPr="006F5659" w:rsidRDefault="006F5659" w:rsidP="006F5659"/>
    <w:p w14:paraId="00000058" w14:textId="1672F9C1" w:rsidR="00EF2EEB" w:rsidRPr="008D17E8" w:rsidRDefault="00E57539" w:rsidP="00E64BAE">
      <w:pPr>
        <w:jc w:val="both"/>
        <w:rPr>
          <w:rFonts w:ascii="Arial" w:hAnsi="Arial" w:cs="Arial"/>
        </w:rPr>
      </w:pPr>
      <w:r w:rsidRPr="008D17E8">
        <w:rPr>
          <w:rFonts w:ascii="Arial" w:hAnsi="Arial" w:cs="Arial"/>
        </w:rPr>
        <w:t>La presente cartilla es la puerta de entrada al KIT de herramientas CiuData+ para la gestión, administración y formalización del patrimonio inmobiliario municipal de inmuebles. Su propósito es ofrecer a los municipios una hoja de ruta clara, práctica y replicable para identificar, organizar y consolidar la información sobre los bienes inmuebles bajo su propiedad, administración o responsabilidad.</w:t>
      </w:r>
    </w:p>
    <w:p w14:paraId="00000059" w14:textId="0E7AA3A6" w:rsidR="00EF2EEB" w:rsidRPr="008D17E8" w:rsidRDefault="00E57539" w:rsidP="00E64BAE">
      <w:pPr>
        <w:jc w:val="both"/>
        <w:rPr>
          <w:rFonts w:ascii="Arial" w:hAnsi="Arial" w:cs="Arial"/>
        </w:rPr>
      </w:pPr>
      <w:r w:rsidRPr="008D17E8">
        <w:rPr>
          <w:rFonts w:ascii="Arial" w:hAnsi="Arial" w:cs="Arial"/>
        </w:rPr>
        <w:t xml:space="preserve">Contar con un inventario </w:t>
      </w:r>
      <w:r w:rsidR="00512546" w:rsidRPr="008D17E8">
        <w:rPr>
          <w:rFonts w:ascii="Arial" w:hAnsi="Arial" w:cs="Arial"/>
        </w:rPr>
        <w:t xml:space="preserve">municipal de </w:t>
      </w:r>
      <w:r w:rsidRPr="008D17E8">
        <w:rPr>
          <w:rFonts w:ascii="Arial" w:hAnsi="Arial" w:cs="Arial"/>
        </w:rPr>
        <w:t>inm</w:t>
      </w:r>
      <w:r w:rsidR="00512546" w:rsidRPr="008D17E8">
        <w:rPr>
          <w:rFonts w:ascii="Arial" w:hAnsi="Arial" w:cs="Arial"/>
        </w:rPr>
        <w:t>uebles</w:t>
      </w:r>
      <w:r w:rsidRPr="008D17E8">
        <w:rPr>
          <w:rFonts w:ascii="Arial" w:hAnsi="Arial" w:cs="Arial"/>
        </w:rPr>
        <w:t xml:space="preserve"> actualizado y confiable es un requisito fundamental para: conocer la situación jurídica, catastral y administrativa de cada inmueble; fortalecer la gestión del suelo fiscal y del espacio público; facilitar procesos de legalización de barrios y formalización de predios urbanos; mejorar la seguridad jurídica de los ocupantes y aumentar la capacidad fiscal del municipio mediante una administración eficiente del suelo</w:t>
      </w:r>
    </w:p>
    <w:p w14:paraId="0000005A" w14:textId="77777777" w:rsidR="00EF2EEB" w:rsidRPr="008D17E8" w:rsidRDefault="00E57539" w:rsidP="00E64BAE">
      <w:pPr>
        <w:jc w:val="both"/>
        <w:rPr>
          <w:rFonts w:ascii="Arial" w:hAnsi="Arial" w:cs="Arial"/>
        </w:rPr>
      </w:pPr>
      <w:r w:rsidRPr="008D17E8">
        <w:rPr>
          <w:rFonts w:ascii="Arial" w:hAnsi="Arial" w:cs="Arial"/>
        </w:rPr>
        <w:t>En conclusión, la cartilla presenta un proceso secuencial que parte de la base catastral disponible, incorpora criterios de depuración y clasificación, y culmina con la conformación de un inventario georreferenciado integrado a un Sistema de Información Geográfica (SIG). Este enfoque se articula con los principios del catastro multipropósito y el catastro colaborativo, promoviendo la interoperabilidad entre catastro, registro y ordenamiento territorial.</w:t>
      </w:r>
    </w:p>
    <w:p w14:paraId="0000005E" w14:textId="5AB36F90" w:rsidR="00EF2EEB" w:rsidRDefault="00EF2EEB">
      <w:pPr>
        <w:pStyle w:val="Ttulo1"/>
        <w:spacing w:before="0" w:after="160" w:line="301" w:lineRule="auto"/>
        <w:jc w:val="both"/>
        <w:rPr>
          <w:rFonts w:ascii="Arial" w:eastAsia="Arial" w:hAnsi="Arial" w:cs="Arial"/>
          <w:color w:val="000000"/>
          <w:sz w:val="24"/>
          <w:szCs w:val="24"/>
        </w:rPr>
      </w:pPr>
    </w:p>
    <w:p w14:paraId="0000005F" w14:textId="77777777" w:rsidR="00EF2EEB" w:rsidRDefault="00E57539">
      <w:pPr>
        <w:pStyle w:val="Ttulo1"/>
        <w:spacing w:before="0" w:after="160" w:line="301" w:lineRule="auto"/>
        <w:jc w:val="both"/>
        <w:rPr>
          <w:rFonts w:ascii="Arial" w:eastAsia="Arial" w:hAnsi="Arial" w:cs="Arial"/>
          <w:color w:val="000000"/>
          <w:sz w:val="24"/>
          <w:szCs w:val="24"/>
        </w:rPr>
      </w:pPr>
      <w:r>
        <w:rPr>
          <w:rFonts w:ascii="Arial" w:eastAsia="Arial" w:hAnsi="Arial" w:cs="Arial"/>
          <w:color w:val="000000"/>
          <w:sz w:val="24"/>
          <w:szCs w:val="24"/>
        </w:rPr>
        <w:t xml:space="preserve"> </w:t>
      </w:r>
    </w:p>
    <w:p w14:paraId="00000060" w14:textId="77777777" w:rsidR="00EF2EEB" w:rsidRDefault="00E57539">
      <w:pPr>
        <w:pStyle w:val="Ttulo1"/>
        <w:spacing w:before="0" w:after="160" w:line="301" w:lineRule="auto"/>
        <w:jc w:val="both"/>
        <w:rPr>
          <w:rFonts w:ascii="Arial" w:eastAsia="Arial" w:hAnsi="Arial" w:cs="Arial"/>
          <w:color w:val="000000"/>
          <w:sz w:val="24"/>
          <w:szCs w:val="24"/>
        </w:rPr>
      </w:pPr>
      <w:r>
        <w:rPr>
          <w:rFonts w:ascii="Arial" w:eastAsia="Arial" w:hAnsi="Arial" w:cs="Arial"/>
          <w:color w:val="000000"/>
          <w:sz w:val="24"/>
          <w:szCs w:val="24"/>
        </w:rPr>
        <w:t xml:space="preserve"> </w:t>
      </w:r>
    </w:p>
    <w:p w14:paraId="00000061" w14:textId="77777777" w:rsidR="00EF2EEB" w:rsidRDefault="00E57539">
      <w:pPr>
        <w:pStyle w:val="Ttulo1"/>
        <w:spacing w:before="0" w:after="160" w:line="301" w:lineRule="auto"/>
        <w:jc w:val="both"/>
      </w:pPr>
      <w:r>
        <w:rPr>
          <w:rFonts w:ascii="Arial" w:eastAsia="Arial" w:hAnsi="Arial" w:cs="Arial"/>
          <w:b/>
          <w:bCs/>
          <w:color w:val="000000"/>
          <w:sz w:val="24"/>
          <w:szCs w:val="24"/>
        </w:rPr>
        <w:t xml:space="preserve"> </w:t>
      </w:r>
    </w:p>
    <w:p w14:paraId="00000062" w14:textId="77777777" w:rsidR="00EF2EEB" w:rsidRDefault="00EF2EEB">
      <w:pPr>
        <w:pStyle w:val="Ttulo1"/>
        <w:spacing w:before="0" w:after="160" w:line="276" w:lineRule="auto"/>
        <w:jc w:val="center"/>
        <w:rPr>
          <w:rFonts w:ascii="Arial" w:eastAsia="Arial" w:hAnsi="Arial" w:cs="Arial"/>
          <w:b/>
          <w:bCs/>
          <w:color w:val="000000"/>
          <w:sz w:val="24"/>
          <w:szCs w:val="24"/>
        </w:rPr>
      </w:pPr>
    </w:p>
    <w:p w14:paraId="00000063" w14:textId="77777777" w:rsidR="00EF2EEB" w:rsidRDefault="00EF2EEB">
      <w:pPr>
        <w:pStyle w:val="Ttulo1"/>
        <w:spacing w:before="0" w:after="160" w:line="276" w:lineRule="auto"/>
        <w:jc w:val="center"/>
        <w:rPr>
          <w:rFonts w:ascii="Arial" w:eastAsia="Arial" w:hAnsi="Arial" w:cs="Arial"/>
          <w:b/>
          <w:bCs/>
          <w:color w:val="000000"/>
          <w:sz w:val="24"/>
          <w:szCs w:val="24"/>
        </w:rPr>
      </w:pPr>
    </w:p>
    <w:p w14:paraId="156733B4" w14:textId="77777777" w:rsidR="00E64BAE" w:rsidRDefault="00E64BAE" w:rsidP="00E64BAE"/>
    <w:p w14:paraId="5EFFAE2B" w14:textId="77777777" w:rsidR="00FF7294" w:rsidRPr="00E64BAE" w:rsidRDefault="00FF7294" w:rsidP="00E64BAE"/>
    <w:p w14:paraId="00000065" w14:textId="74CEE07C" w:rsidR="00EF2EEB" w:rsidRPr="00E64BAE" w:rsidRDefault="00E57539" w:rsidP="00E64BAE">
      <w:pPr>
        <w:pStyle w:val="Ttulo1"/>
        <w:jc w:val="center"/>
        <w:rPr>
          <w:rFonts w:ascii="Arial" w:hAnsi="Arial" w:cs="Arial"/>
          <w:b/>
          <w:bCs/>
          <w:color w:val="auto"/>
          <w:sz w:val="24"/>
          <w:szCs w:val="24"/>
        </w:rPr>
      </w:pPr>
      <w:bookmarkStart w:id="19" w:name="_Toc228874209"/>
      <w:r w:rsidRPr="00E64BAE">
        <w:rPr>
          <w:rFonts w:ascii="Arial" w:hAnsi="Arial" w:cs="Arial"/>
          <w:b/>
          <w:bCs/>
          <w:color w:val="auto"/>
          <w:sz w:val="24"/>
          <w:szCs w:val="24"/>
        </w:rPr>
        <w:lastRenderedPageBreak/>
        <w:t>C</w:t>
      </w:r>
      <w:r w:rsidR="00C6701A">
        <w:rPr>
          <w:rFonts w:ascii="Arial" w:hAnsi="Arial" w:cs="Arial"/>
          <w:b/>
          <w:bCs/>
          <w:color w:val="auto"/>
          <w:sz w:val="24"/>
          <w:szCs w:val="24"/>
        </w:rPr>
        <w:t>apítulo</w:t>
      </w:r>
      <w:r w:rsidRPr="00E64BAE">
        <w:rPr>
          <w:rFonts w:ascii="Arial" w:hAnsi="Arial" w:cs="Arial"/>
          <w:b/>
          <w:bCs/>
          <w:color w:val="auto"/>
          <w:sz w:val="24"/>
          <w:szCs w:val="24"/>
        </w:rPr>
        <w:t xml:space="preserve"> 1.</w:t>
      </w:r>
      <w:r w:rsidR="009F2A45">
        <w:rPr>
          <w:rFonts w:ascii="Arial" w:hAnsi="Arial" w:cs="Arial"/>
          <w:b/>
          <w:bCs/>
          <w:color w:val="auto"/>
          <w:sz w:val="24"/>
          <w:szCs w:val="24"/>
        </w:rPr>
        <w:t xml:space="preserve"> </w:t>
      </w:r>
      <w:r w:rsidR="00AF316C" w:rsidRPr="00E64BAE">
        <w:rPr>
          <w:rFonts w:ascii="Arial" w:hAnsi="Arial" w:cs="Arial"/>
          <w:b/>
          <w:bCs/>
          <w:color w:val="auto"/>
          <w:sz w:val="24"/>
          <w:szCs w:val="24"/>
        </w:rPr>
        <w:t>Presentación, alcance y bases del inventario</w:t>
      </w:r>
      <w:bookmarkEnd w:id="19"/>
    </w:p>
    <w:p w14:paraId="00000066" w14:textId="77777777" w:rsidR="00EF2EEB" w:rsidRDefault="00EF2EEB"/>
    <w:p w14:paraId="00000067" w14:textId="3774E85E" w:rsidR="00EF2EEB" w:rsidRPr="00DF11C5" w:rsidRDefault="00E57539" w:rsidP="00DF11C5">
      <w:pPr>
        <w:jc w:val="both"/>
        <w:rPr>
          <w:rFonts w:ascii="Arial" w:hAnsi="Arial" w:cs="Arial"/>
        </w:rPr>
      </w:pPr>
      <w:r w:rsidRPr="00DF11C5">
        <w:rPr>
          <w:rFonts w:ascii="Arial" w:hAnsi="Arial" w:cs="Arial"/>
        </w:rPr>
        <w:t xml:space="preserve">Esta cartilla orienta a los municipios en la organización y fortalecimiento </w:t>
      </w:r>
      <w:r w:rsidRPr="00DF11C5">
        <w:rPr>
          <w:rFonts w:ascii="Arial" w:hAnsi="Arial" w:cs="Arial"/>
          <w:b/>
          <w:bCs/>
        </w:rPr>
        <w:t xml:space="preserve">del inventario </w:t>
      </w:r>
      <w:r w:rsidR="00512546" w:rsidRPr="00DF11C5">
        <w:rPr>
          <w:rFonts w:ascii="Arial" w:hAnsi="Arial" w:cs="Arial"/>
          <w:b/>
          <w:bCs/>
        </w:rPr>
        <w:t xml:space="preserve">municipal </w:t>
      </w:r>
      <w:r w:rsidRPr="00DF11C5">
        <w:rPr>
          <w:rFonts w:ascii="Arial" w:hAnsi="Arial" w:cs="Arial"/>
          <w:b/>
          <w:bCs/>
        </w:rPr>
        <w:t>de inmuebles</w:t>
      </w:r>
      <w:r w:rsidRPr="00DF11C5">
        <w:rPr>
          <w:rFonts w:ascii="Arial" w:hAnsi="Arial" w:cs="Arial"/>
        </w:rPr>
        <w:t xml:space="preserve">, incluyendo los bienes de su propiedad, bajo su administración o que requieran saneamiento o clarificación jurídica. Asimismo, establece los pasos para su construcción, los atributos mínimos, los criterios de clasificación y su posible integración a un Sistema de Información Geográfica (SIG). Su enfoque es flexible y escalable, permitiendo que municipios con diferentes niveles de capacidad técnica o institucional avancen de manera progresiva en la consolidación de su inventario. </w:t>
      </w:r>
    </w:p>
    <w:p w14:paraId="00000068" w14:textId="77777777" w:rsidR="00EF2EEB" w:rsidRPr="00DB56FC" w:rsidRDefault="00E57539" w:rsidP="00E64BAE">
      <w:pPr>
        <w:pStyle w:val="Ttulo2"/>
        <w:rPr>
          <w:rFonts w:ascii="Arial" w:hAnsi="Arial" w:cs="Arial"/>
          <w:b/>
          <w:bCs/>
          <w:color w:val="auto"/>
          <w:sz w:val="24"/>
          <w:szCs w:val="24"/>
        </w:rPr>
      </w:pPr>
      <w:bookmarkStart w:id="20" w:name="_Toc228874210"/>
      <w:r w:rsidRPr="00DB56FC">
        <w:rPr>
          <w:rFonts w:ascii="Arial" w:hAnsi="Arial" w:cs="Arial"/>
          <w:b/>
          <w:bCs/>
          <w:color w:val="auto"/>
          <w:sz w:val="24"/>
          <w:szCs w:val="24"/>
        </w:rPr>
        <w:t>1.1 ¿Cuál es el producto esperado?</w:t>
      </w:r>
      <w:bookmarkEnd w:id="20"/>
    </w:p>
    <w:p w14:paraId="00000069" w14:textId="1BC288F5" w:rsidR="00EF2EEB" w:rsidRPr="00DF11C5" w:rsidRDefault="00E57539" w:rsidP="00DF11C5">
      <w:pPr>
        <w:jc w:val="both"/>
        <w:rPr>
          <w:rFonts w:ascii="Arial" w:hAnsi="Arial" w:cs="Arial"/>
        </w:rPr>
      </w:pPr>
      <w:r w:rsidRPr="00DF11C5">
        <w:rPr>
          <w:rFonts w:ascii="Arial" w:hAnsi="Arial" w:cs="Arial"/>
        </w:rPr>
        <w:t xml:space="preserve">Al finalizar el proceso descrito en esta cartilla, </w:t>
      </w:r>
      <w:r w:rsidRPr="00DF11C5">
        <w:rPr>
          <w:rFonts w:ascii="Arial" w:hAnsi="Arial" w:cs="Arial"/>
          <w:b/>
          <w:bCs/>
        </w:rPr>
        <w:t xml:space="preserve">el municipio contará con un Inventario </w:t>
      </w:r>
      <w:r w:rsidR="00512546" w:rsidRPr="00DF11C5">
        <w:rPr>
          <w:rFonts w:ascii="Arial" w:hAnsi="Arial" w:cs="Arial"/>
          <w:b/>
          <w:bCs/>
        </w:rPr>
        <w:t>Municipal de Inmuebles</w:t>
      </w:r>
      <w:r w:rsidR="00512546" w:rsidRPr="00DF11C5">
        <w:rPr>
          <w:rFonts w:ascii="Arial" w:hAnsi="Arial" w:cs="Arial"/>
        </w:rPr>
        <w:t>, para</w:t>
      </w:r>
      <w:r w:rsidRPr="00DF11C5">
        <w:rPr>
          <w:rFonts w:ascii="Arial" w:hAnsi="Arial" w:cs="Arial"/>
        </w:rPr>
        <w:t xml:space="preserve"> lo que se propone pasos escalonados que van de acuerdo con las capacidades de los municipios.</w:t>
      </w:r>
    </w:p>
    <w:p w14:paraId="0000006A" w14:textId="77777777" w:rsidR="00EF2EEB" w:rsidRPr="00DF11C5" w:rsidRDefault="00E57539" w:rsidP="00DF11C5">
      <w:pPr>
        <w:jc w:val="both"/>
        <w:rPr>
          <w:rFonts w:ascii="Arial" w:hAnsi="Arial" w:cs="Arial"/>
        </w:rPr>
      </w:pPr>
      <w:r w:rsidRPr="00DF11C5">
        <w:rPr>
          <w:rFonts w:ascii="Arial" w:hAnsi="Arial" w:cs="Arial"/>
        </w:rPr>
        <w:t>Este inventario se convierte en un insumo central para la administración del suelo fiscal, el avance de los procesos de formalización, la protección del espacio público y el soporte técnico a la toma de decisiones urbanas.</w:t>
      </w:r>
    </w:p>
    <w:p w14:paraId="0000006B" w14:textId="08983E7A" w:rsidR="00EF2EEB" w:rsidRPr="00DB56FC" w:rsidRDefault="00E57539" w:rsidP="00DB56FC">
      <w:pPr>
        <w:pStyle w:val="Ttulo2"/>
        <w:rPr>
          <w:rFonts w:ascii="Arial" w:hAnsi="Arial" w:cs="Arial"/>
          <w:b/>
          <w:bCs/>
          <w:color w:val="auto"/>
          <w:sz w:val="24"/>
          <w:szCs w:val="24"/>
        </w:rPr>
      </w:pPr>
      <w:bookmarkStart w:id="21" w:name="_Toc228874211"/>
      <w:r w:rsidRPr="00DB56FC">
        <w:rPr>
          <w:rFonts w:ascii="Arial" w:hAnsi="Arial" w:cs="Arial"/>
          <w:b/>
          <w:bCs/>
          <w:color w:val="auto"/>
          <w:sz w:val="24"/>
          <w:szCs w:val="24"/>
        </w:rPr>
        <w:t xml:space="preserve">1.2 ¿Qué es el inventario </w:t>
      </w:r>
      <w:r w:rsidR="00512546" w:rsidRPr="00DB56FC">
        <w:rPr>
          <w:rFonts w:ascii="Arial" w:hAnsi="Arial" w:cs="Arial"/>
          <w:b/>
          <w:bCs/>
          <w:color w:val="auto"/>
          <w:sz w:val="24"/>
          <w:szCs w:val="24"/>
        </w:rPr>
        <w:t>municipal de inmuebles</w:t>
      </w:r>
      <w:r w:rsidRPr="00DB56FC">
        <w:rPr>
          <w:rFonts w:ascii="Arial" w:hAnsi="Arial" w:cs="Arial"/>
          <w:b/>
          <w:bCs/>
          <w:color w:val="auto"/>
          <w:sz w:val="24"/>
          <w:szCs w:val="24"/>
        </w:rPr>
        <w:t>?</w:t>
      </w:r>
      <w:bookmarkEnd w:id="21"/>
    </w:p>
    <w:p w14:paraId="0000006C" w14:textId="3431A0A5" w:rsidR="00EF2EEB" w:rsidRDefault="00E57539">
      <w:pPr>
        <w:jc w:val="both"/>
        <w:rPr>
          <w:rFonts w:ascii="Arial" w:eastAsia="Arial" w:hAnsi="Arial" w:cs="Arial"/>
        </w:rPr>
      </w:pPr>
      <w:r>
        <w:rPr>
          <w:rFonts w:ascii="Arial" w:eastAsia="Arial" w:hAnsi="Arial" w:cs="Arial"/>
        </w:rPr>
        <w:t xml:space="preserve">El inventario </w:t>
      </w:r>
      <w:r w:rsidR="00FE773F">
        <w:rPr>
          <w:rFonts w:ascii="Arial" w:eastAsia="Arial" w:hAnsi="Arial" w:cs="Arial"/>
        </w:rPr>
        <w:t xml:space="preserve">municipal de inmuebles </w:t>
      </w:r>
      <w:r>
        <w:rPr>
          <w:rFonts w:ascii="Arial" w:eastAsia="Arial" w:hAnsi="Arial" w:cs="Arial"/>
        </w:rPr>
        <w:t>es el registro organizado y sistemático de los bienes inmuebles que están bajo dominio, administración o responsabilidad del municipio. Su función principal es concentrar, depurar y estructurar la información jurídica, catastral y administrativa de cada predio, permitiendo conocer su situación actual y orientar las decisiones relacionadas con su gestión, saneamiento y aprovechamiento.</w:t>
      </w:r>
    </w:p>
    <w:p w14:paraId="0000006D" w14:textId="77777777" w:rsidR="00EF2EEB" w:rsidRDefault="00E57539">
      <w:pPr>
        <w:jc w:val="both"/>
        <w:rPr>
          <w:rFonts w:ascii="Arial" w:eastAsia="Arial" w:hAnsi="Arial" w:cs="Arial"/>
        </w:rPr>
      </w:pPr>
      <w:r>
        <w:rPr>
          <w:rFonts w:ascii="Arial" w:eastAsia="Arial" w:hAnsi="Arial" w:cs="Arial"/>
        </w:rPr>
        <w:t>Este inventario puede gestionarse en distintos formatos según las capacidades técnicas de cada entidad territorial: desde hojas de cálculo básicas, hasta bases de datos especializadas o capas geográficas integradas a Sistemas de Información Geográfica (SIG). Independientemente del formato utilizado, el inventario debe garantizar la organización de la información, su actualización continua y la trazabilidad de las actuaciones administrativas asociadas a cada inmueble, facilitando así una gestión más eficiente, transparente y progresiva del patrimonio inmobiliario municipal.</w:t>
      </w:r>
    </w:p>
    <w:p w14:paraId="0000006E" w14:textId="77777777" w:rsidR="00EF2EEB" w:rsidRPr="001515ED" w:rsidRDefault="00E57539" w:rsidP="00DB56FC">
      <w:pPr>
        <w:pStyle w:val="Ttulo2"/>
        <w:rPr>
          <w:rFonts w:ascii="Arial" w:hAnsi="Arial" w:cs="Arial"/>
          <w:b/>
          <w:bCs/>
          <w:color w:val="auto"/>
          <w:sz w:val="24"/>
          <w:szCs w:val="24"/>
        </w:rPr>
      </w:pPr>
      <w:bookmarkStart w:id="22" w:name="_Toc228874212"/>
      <w:r w:rsidRPr="001515ED">
        <w:rPr>
          <w:rFonts w:ascii="Arial" w:hAnsi="Arial" w:cs="Arial"/>
          <w:b/>
          <w:bCs/>
          <w:color w:val="auto"/>
          <w:sz w:val="24"/>
          <w:szCs w:val="24"/>
        </w:rPr>
        <w:lastRenderedPageBreak/>
        <w:t>1.3 Atributos mínimos del inventario</w:t>
      </w:r>
      <w:bookmarkEnd w:id="22"/>
    </w:p>
    <w:p w14:paraId="0000006F" w14:textId="49180ED4" w:rsidR="00EF2EEB" w:rsidRPr="005F556D" w:rsidRDefault="00E57539" w:rsidP="005F556D">
      <w:pPr>
        <w:jc w:val="both"/>
        <w:rPr>
          <w:rFonts w:ascii="Arial" w:hAnsi="Arial" w:cs="Arial"/>
        </w:rPr>
      </w:pPr>
      <w:r w:rsidRPr="005F556D">
        <w:rPr>
          <w:rFonts w:ascii="Arial" w:hAnsi="Arial" w:cs="Arial"/>
        </w:rPr>
        <w:t xml:space="preserve">El inventario </w:t>
      </w:r>
      <w:r w:rsidR="00FE773F" w:rsidRPr="005F556D">
        <w:rPr>
          <w:rFonts w:ascii="Arial" w:hAnsi="Arial" w:cs="Arial"/>
        </w:rPr>
        <w:t xml:space="preserve">municipal de inmuebles </w:t>
      </w:r>
      <w:r w:rsidRPr="005F556D">
        <w:rPr>
          <w:rFonts w:ascii="Arial" w:hAnsi="Arial" w:cs="Arial"/>
        </w:rPr>
        <w:t>debe organizarse de manera que su información pueda verse y usarse fácilmente en cualquier sistema de mapas o SIG, incluso si el municipio no cuenta todavía con estas herramientas. Lo importante es que los datos estén completos y ordenados para que puedan integrarse a un mapa cuando sea necesario.</w:t>
      </w:r>
    </w:p>
    <w:p w14:paraId="00000070" w14:textId="77777777" w:rsidR="00EF2EEB" w:rsidRPr="005F556D" w:rsidRDefault="00E57539" w:rsidP="005F556D">
      <w:pPr>
        <w:jc w:val="both"/>
        <w:rPr>
          <w:rFonts w:ascii="Arial" w:hAnsi="Arial" w:cs="Arial"/>
        </w:rPr>
      </w:pPr>
      <w:bookmarkStart w:id="23" w:name="_heading=h.71dboiwicf6w" w:colFirst="0" w:colLast="0"/>
      <w:bookmarkEnd w:id="23"/>
      <w:r w:rsidRPr="005F556D">
        <w:rPr>
          <w:rFonts w:ascii="Arial" w:hAnsi="Arial" w:cs="Arial"/>
        </w:rPr>
        <w:t xml:space="preserve">No se requiere que el municipio cuente con toda la información desde el inicio; el inventario se consolida de manera progresiva a medida que se depura la base catastral, se realizan cruces con la información registral y se adelantan verificaciones en campo. Este enfoque gradual permite avanzar según las capacidades técnicas y operativas de cada entidad territorial, garantizando que el inventario pueda escalar y fortalecerse en el tiempo. </w:t>
      </w:r>
    </w:p>
    <w:p w14:paraId="00000071" w14:textId="1EFD4B82" w:rsidR="00EF2EEB" w:rsidRDefault="00E57539" w:rsidP="005F556D">
      <w:pPr>
        <w:jc w:val="both"/>
      </w:pPr>
      <w:bookmarkStart w:id="24" w:name="_heading=h.x5umq59jyjzp" w:colFirst="0" w:colLast="0"/>
      <w:bookmarkEnd w:id="24"/>
      <w:r w:rsidRPr="005F556D">
        <w:rPr>
          <w:rFonts w:ascii="Arial" w:hAnsi="Arial" w:cs="Arial"/>
        </w:rPr>
        <w:t>A continuación, se presenta la estructura mínima recomendada de clases y atributos para la construcción del inventario</w:t>
      </w:r>
      <w:r>
        <w:t>.</w:t>
      </w:r>
    </w:p>
    <w:p w14:paraId="170D7E9F" w14:textId="77777777" w:rsidR="00512546" w:rsidRPr="00512546" w:rsidRDefault="00512546" w:rsidP="00512546"/>
    <w:p w14:paraId="00000073" w14:textId="77777777" w:rsidR="00EF2EEB" w:rsidRDefault="00E57539">
      <w:pPr>
        <w:jc w:val="center"/>
        <w:rPr>
          <w:b/>
          <w:bCs/>
        </w:rPr>
      </w:pPr>
      <w:r>
        <w:rPr>
          <w:b/>
          <w:bCs/>
        </w:rPr>
        <w:t>Tabla No 1. Estructura mínima recomendada del Inventario Municipal de inmuebles</w:t>
      </w:r>
    </w:p>
    <w:tbl>
      <w:tblPr>
        <w:tblStyle w:val="a"/>
        <w:tblW w:w="835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910"/>
        <w:gridCol w:w="5445"/>
      </w:tblGrid>
      <w:tr w:rsidR="00EF2EEB" w14:paraId="328CE409" w14:textId="77777777">
        <w:trPr>
          <w:trHeight w:val="300"/>
          <w:tblHeader/>
          <w:jc w:val="center"/>
        </w:trPr>
        <w:tc>
          <w:tcPr>
            <w:tcW w:w="2910" w:type="dxa"/>
            <w:tcBorders>
              <w:top w:val="single" w:sz="5" w:space="0" w:color="000000"/>
              <w:left w:val="single" w:sz="5" w:space="0" w:color="000000"/>
              <w:bottom w:val="single" w:sz="5" w:space="0" w:color="000000"/>
              <w:right w:val="single" w:sz="5" w:space="0" w:color="000000"/>
            </w:tcBorders>
            <w:shd w:val="clear" w:color="auto" w:fill="C0E6F5"/>
            <w:tcMar>
              <w:top w:w="0" w:type="dxa"/>
              <w:left w:w="100" w:type="dxa"/>
              <w:bottom w:w="0" w:type="dxa"/>
              <w:right w:w="100" w:type="dxa"/>
            </w:tcMar>
          </w:tcPr>
          <w:p w14:paraId="00000075" w14:textId="77777777" w:rsidR="00EF2EEB" w:rsidRDefault="00E57539">
            <w:pPr>
              <w:spacing w:before="240" w:after="0" w:line="276" w:lineRule="auto"/>
              <w:jc w:val="center"/>
              <w:rPr>
                <w:rFonts w:ascii="Arial" w:eastAsia="Arial" w:hAnsi="Arial" w:cs="Arial"/>
                <w:b/>
                <w:bCs/>
              </w:rPr>
            </w:pPr>
            <w:r>
              <w:rPr>
                <w:rFonts w:ascii="Arial" w:eastAsia="Arial" w:hAnsi="Arial" w:cs="Arial"/>
                <w:b/>
                <w:bCs/>
              </w:rPr>
              <w:t>Atributo</w:t>
            </w:r>
          </w:p>
        </w:tc>
        <w:tc>
          <w:tcPr>
            <w:tcW w:w="5445" w:type="dxa"/>
            <w:tcBorders>
              <w:top w:val="single" w:sz="5" w:space="0" w:color="000000"/>
              <w:left w:val="nil"/>
              <w:bottom w:val="single" w:sz="5" w:space="0" w:color="000000"/>
              <w:right w:val="single" w:sz="5" w:space="0" w:color="000000"/>
            </w:tcBorders>
            <w:shd w:val="clear" w:color="auto" w:fill="C0E6F5"/>
            <w:tcMar>
              <w:top w:w="0" w:type="dxa"/>
              <w:left w:w="100" w:type="dxa"/>
              <w:bottom w:w="0" w:type="dxa"/>
              <w:right w:w="100" w:type="dxa"/>
            </w:tcMar>
          </w:tcPr>
          <w:p w14:paraId="00000076" w14:textId="77777777" w:rsidR="00EF2EEB" w:rsidRDefault="00E57539">
            <w:pPr>
              <w:spacing w:before="240" w:after="0" w:line="276" w:lineRule="auto"/>
              <w:jc w:val="center"/>
              <w:rPr>
                <w:rFonts w:ascii="Arial" w:eastAsia="Arial" w:hAnsi="Arial" w:cs="Arial"/>
                <w:b/>
                <w:bCs/>
              </w:rPr>
            </w:pPr>
            <w:r>
              <w:rPr>
                <w:rFonts w:ascii="Arial" w:eastAsia="Arial" w:hAnsi="Arial" w:cs="Arial"/>
                <w:b/>
                <w:bCs/>
              </w:rPr>
              <w:t>Descripción</w:t>
            </w:r>
          </w:p>
        </w:tc>
      </w:tr>
      <w:tr w:rsidR="00EF2EEB" w14:paraId="621509CE" w14:textId="77777777">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77"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Numero_Predial_Nacional</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78"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 xml:space="preserve"> Código numérico de treinta (30) dígitos, que se le asigna a cada predio según el modelo determinado por el Instituto Geográfico Agustín Codazzi.</w:t>
            </w:r>
          </w:p>
        </w:tc>
      </w:tr>
      <w:tr w:rsidR="00EF2EEB" w14:paraId="5C260A30" w14:textId="77777777">
        <w:trPr>
          <w:trHeight w:val="930"/>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79"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Nombre</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7A"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Contiene el nombre de la persona natural que ejerce derechos y responsabilidades o sufren restricciones con el predio. Se incluyen los campos: Primer_Nombre, Segundo_Nombre, Primer_Apellido, Segundo_Apellido.</w:t>
            </w:r>
          </w:p>
        </w:tc>
      </w:tr>
      <w:tr w:rsidR="00EF2EEB" w14:paraId="3A61B1EC" w14:textId="77777777">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7B"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Razon_Social</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7C"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Contiene el nombre de la persona jurídica que ejerce derechos y responsabilidades o sufren restricciones con el predio.</w:t>
            </w:r>
          </w:p>
        </w:tc>
      </w:tr>
      <w:tr w:rsidR="00EF2EEB" w14:paraId="50F38672" w14:textId="77777777">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7D"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Documento</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7E"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Contiene información relacionada con el documento del interesado. Se incluyen los campos: Tipo_Documento y Numero_Documento.</w:t>
            </w:r>
          </w:p>
        </w:tc>
      </w:tr>
      <w:tr w:rsidR="00EF2EEB" w14:paraId="2979A9D8" w14:textId="77777777">
        <w:trPr>
          <w:trHeight w:val="300"/>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7F"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Sexo</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80"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 xml:space="preserve"> Valores para indicar el sexo del interesado.</w:t>
            </w:r>
          </w:p>
        </w:tc>
      </w:tr>
      <w:tr w:rsidR="00EF2EEB" w14:paraId="3B75828F" w14:textId="77777777">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1"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lastRenderedPageBreak/>
              <w:t>Direccion</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82"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Dirección del predio de acuerdo con la nomenclatura aplicada por la entidad territorial en sus áreas urbana y rural</w:t>
            </w:r>
          </w:p>
        </w:tc>
      </w:tr>
      <w:tr w:rsidR="00EF2EEB" w14:paraId="261E7F8B" w14:textId="77777777">
        <w:trPr>
          <w:trHeight w:val="930"/>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3"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Destinacion_Economica</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84"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 xml:space="preserve">Clasificación que se da a cada inmueble en su conjunto -terreno y unidades de construcción-, en el momento de la identificación predial de conformidad con la actividad predominante que en él se desarrolle. </w:t>
            </w:r>
          </w:p>
        </w:tc>
      </w:tr>
      <w:tr w:rsidR="00EF2EEB" w14:paraId="7B0FB7EE" w14:textId="77777777">
        <w:trPr>
          <w:trHeight w:val="46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5"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Area</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86"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Área del terreno y de la construcción. Se incluyen los campos: Area_Catastral_Terreno y Area_Total_Construida.</w:t>
            </w:r>
          </w:p>
        </w:tc>
      </w:tr>
      <w:tr w:rsidR="00EF2EEB" w14:paraId="25102DC2" w14:textId="77777777">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7"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Matricula_Inmobiliaria</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88"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Identificación única de cada bien inmueble relacionados en el artículo 4° de la Ley 1579 de 2012. Se incluyen los campos: Circulo y Matrícula; y Sistema_Antiguo_Registro.</w:t>
            </w:r>
          </w:p>
        </w:tc>
      </w:tr>
      <w:tr w:rsidR="00EF2EEB" w14:paraId="78B82E89" w14:textId="77777777">
        <w:trPr>
          <w:trHeight w:val="139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9"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Tipo_Predio</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8A"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Distinción conceptual que permite identificar a qué régimen se encuentran sometidos los bienes inmuebles, y por tanto si son de propiedad privada o por el contrario son predios públicos que pueden catalogarse como: predios que pertenecen a la Nación, a una entidad territorial o a alguna entidad de derecho público.</w:t>
            </w:r>
          </w:p>
        </w:tc>
      </w:tr>
      <w:tr w:rsidR="00EF2EEB" w14:paraId="4CDE2D6A" w14:textId="77777777">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B"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Condicion_Predio</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8C"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Caracterización temática de las condiciones de predio que se está censando relacionada a aspectos físicos y jurídicos.</w:t>
            </w:r>
          </w:p>
        </w:tc>
      </w:tr>
      <w:tr w:rsidR="00EF2EEB" w14:paraId="028107DD" w14:textId="77777777">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D"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Clasificacion_Suelo</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8E"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Corresponde a las categorías establecidas en Capítulo IV de la Ley 388 de 1997, se clasifican en urbano, de expansión urbana y rural.</w:t>
            </w:r>
          </w:p>
        </w:tc>
      </w:tr>
      <w:tr w:rsidR="00EF2EEB" w14:paraId="2B176049" w14:textId="77777777">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F"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Tipo_Derecho</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90"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Forma de relación del interesado con respecto al predio según su forma de tenencia, el cual puede ser Dominio, Posesión u Ocupación.</w:t>
            </w:r>
          </w:p>
        </w:tc>
      </w:tr>
      <w:tr w:rsidR="00EF2EEB" w14:paraId="3AD59070" w14:textId="77777777">
        <w:trPr>
          <w:trHeight w:val="1620"/>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91"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Alerta</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92" w14:textId="05063712"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Contiene las alertas o inconsistencias identificadas al comparar la información de la base de datos registral con la base de datos catastral o el insumo utilizado para la conformación del inventario, tomando como referencia el número de matrícula inmobiliaria. Este campo permite señalar diferencias relevantes entre ambas fuentes y facilita su revisión y depuración posterior.</w:t>
            </w:r>
          </w:p>
        </w:tc>
      </w:tr>
      <w:tr w:rsidR="00EF2EEB" w14:paraId="2E12E0D8" w14:textId="77777777">
        <w:trPr>
          <w:trHeight w:val="46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93"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Tipo_Ruta</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94"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Corresponde a la Ruta de saneamiento seleccionada para adelantar el proceso de formalización y / o legalización.</w:t>
            </w:r>
          </w:p>
        </w:tc>
      </w:tr>
      <w:tr w:rsidR="00EF2EEB" w14:paraId="2548953D" w14:textId="77777777">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95"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t>Estado_Proceso</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96"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Corresponde al estado del proceso para cada una de las rutas seleccionadas. Permite a la entidad territorial realizar control y seguimiento sobre los procesos adelantados.</w:t>
            </w:r>
          </w:p>
        </w:tc>
      </w:tr>
      <w:tr w:rsidR="00EF2EEB" w14:paraId="6C9205AC" w14:textId="77777777">
        <w:trPr>
          <w:trHeight w:val="930"/>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97" w14:textId="77777777" w:rsidR="00EF2EEB" w:rsidRDefault="00E57539">
            <w:pPr>
              <w:spacing w:before="240" w:after="0" w:line="276" w:lineRule="auto"/>
              <w:rPr>
                <w:rFonts w:ascii="Arial" w:eastAsia="Arial" w:hAnsi="Arial" w:cs="Arial"/>
                <w:b/>
                <w:bCs/>
                <w:sz w:val="20"/>
                <w:szCs w:val="20"/>
              </w:rPr>
            </w:pPr>
            <w:r>
              <w:rPr>
                <w:rFonts w:ascii="Arial" w:eastAsia="Arial" w:hAnsi="Arial" w:cs="Arial"/>
                <w:b/>
                <w:bCs/>
                <w:sz w:val="20"/>
                <w:szCs w:val="20"/>
              </w:rPr>
              <w:lastRenderedPageBreak/>
              <w:t>Fuente</w:t>
            </w:r>
          </w:p>
        </w:tc>
        <w:tc>
          <w:tcPr>
            <w:tcW w:w="5445" w:type="dxa"/>
            <w:tcBorders>
              <w:top w:val="nil"/>
              <w:left w:val="nil"/>
              <w:bottom w:val="single" w:sz="5" w:space="0" w:color="000000"/>
              <w:right w:val="single" w:sz="5" w:space="0" w:color="000000"/>
            </w:tcBorders>
            <w:tcMar>
              <w:top w:w="0" w:type="dxa"/>
              <w:left w:w="100" w:type="dxa"/>
              <w:bottom w:w="0" w:type="dxa"/>
              <w:right w:w="100" w:type="dxa"/>
            </w:tcMar>
          </w:tcPr>
          <w:p w14:paraId="00000098" w14:textId="77777777" w:rsidR="00EF2EEB" w:rsidRDefault="00E57539" w:rsidP="00512546">
            <w:pPr>
              <w:spacing w:after="0" w:line="276" w:lineRule="auto"/>
              <w:jc w:val="both"/>
              <w:rPr>
                <w:rFonts w:ascii="Arial" w:eastAsia="Arial" w:hAnsi="Arial" w:cs="Arial"/>
                <w:sz w:val="20"/>
                <w:szCs w:val="20"/>
              </w:rPr>
            </w:pPr>
            <w:r>
              <w:rPr>
                <w:rFonts w:ascii="Arial" w:eastAsia="Arial" w:hAnsi="Arial" w:cs="Arial"/>
                <w:sz w:val="20"/>
                <w:szCs w:val="20"/>
              </w:rPr>
              <w:t>Corresponde al documento que soporta la relación entre el interesado y el predio. Se incluyen los campos: Tipo_Fuente, Numero_Fuente y Fecha_Documento_Fuente.</w:t>
            </w:r>
          </w:p>
        </w:tc>
      </w:tr>
    </w:tbl>
    <w:p w14:paraId="11008318" w14:textId="77777777" w:rsidR="003E59F8" w:rsidRDefault="003E59F8">
      <w:pPr>
        <w:jc w:val="center"/>
        <w:rPr>
          <w:sz w:val="18"/>
          <w:szCs w:val="18"/>
        </w:rPr>
      </w:pPr>
    </w:p>
    <w:p w14:paraId="00000099" w14:textId="340DD065" w:rsidR="00EF2EEB" w:rsidRPr="00512546" w:rsidRDefault="00E57539">
      <w:pPr>
        <w:jc w:val="center"/>
        <w:rPr>
          <w:sz w:val="18"/>
          <w:szCs w:val="18"/>
        </w:rPr>
      </w:pPr>
      <w:r w:rsidRPr="00512546">
        <w:rPr>
          <w:sz w:val="18"/>
          <w:szCs w:val="18"/>
        </w:rPr>
        <w:t>Fuente: elaboración propia</w:t>
      </w:r>
    </w:p>
    <w:p w14:paraId="0000009A" w14:textId="77777777" w:rsidR="00EF2EEB" w:rsidRDefault="00E57539" w:rsidP="005F556D">
      <w:pPr>
        <w:jc w:val="both"/>
        <w:rPr>
          <w:rFonts w:ascii="Arial" w:hAnsi="Arial" w:cs="Arial"/>
          <w:b/>
          <w:bCs/>
        </w:rPr>
      </w:pPr>
      <w:bookmarkStart w:id="25" w:name="_heading=h.z2u9vx4elwwx" w:colFirst="0" w:colLast="0"/>
      <w:bookmarkEnd w:id="25"/>
      <w:r w:rsidRPr="005F556D">
        <w:rPr>
          <w:rFonts w:ascii="Arial" w:hAnsi="Arial" w:cs="Arial"/>
        </w:rPr>
        <w:t xml:space="preserve">Como apoyo a la implementación del inventario municipal de inmuebles, se adjunta en el Anexo No 3 una plantilla en formato de hoja de cálculo denominada </w:t>
      </w:r>
      <w:r w:rsidRPr="005F556D">
        <w:rPr>
          <w:rFonts w:ascii="Arial" w:hAnsi="Arial" w:cs="Arial"/>
          <w:i/>
          <w:iCs/>
        </w:rPr>
        <w:t>PlantillaIP.xlsx</w:t>
      </w:r>
      <w:r w:rsidRPr="005F556D">
        <w:rPr>
          <w:rFonts w:ascii="Arial" w:hAnsi="Arial" w:cs="Arial"/>
        </w:rPr>
        <w:t>, la cual contiene la estructura básica recomendada para la conformación inicial del inventario. Esta plantilla incorpora los atributos mínimos definidos previamente, junto con sus respectivos dominios, facilitando la organización, estandarización y carga de la información por parte del municipio</w:t>
      </w:r>
      <w:r w:rsidRPr="005F556D">
        <w:rPr>
          <w:rFonts w:ascii="Arial" w:hAnsi="Arial" w:cs="Arial"/>
          <w:b/>
          <w:bCs/>
        </w:rPr>
        <w:t>.</w:t>
      </w:r>
    </w:p>
    <w:p w14:paraId="66646D61" w14:textId="77777777" w:rsidR="006F5659" w:rsidRPr="005F556D" w:rsidRDefault="006F5659" w:rsidP="005F556D">
      <w:pPr>
        <w:jc w:val="both"/>
        <w:rPr>
          <w:rFonts w:ascii="Arial" w:hAnsi="Arial" w:cs="Arial"/>
          <w:b/>
          <w:bCs/>
        </w:rPr>
      </w:pPr>
    </w:p>
    <w:p w14:paraId="0000009B" w14:textId="322CB17F" w:rsidR="00EF2EEB" w:rsidRPr="001515ED" w:rsidRDefault="00E57539" w:rsidP="001515ED">
      <w:pPr>
        <w:pStyle w:val="Ttulo2"/>
        <w:jc w:val="both"/>
        <w:rPr>
          <w:rFonts w:ascii="Arial" w:hAnsi="Arial" w:cs="Arial"/>
          <w:b/>
          <w:bCs/>
          <w:color w:val="auto"/>
          <w:sz w:val="24"/>
          <w:szCs w:val="24"/>
        </w:rPr>
      </w:pPr>
      <w:bookmarkStart w:id="26" w:name="_Toc228874213"/>
      <w:r w:rsidRPr="001515ED">
        <w:rPr>
          <w:rFonts w:ascii="Arial" w:hAnsi="Arial" w:cs="Arial"/>
          <w:b/>
          <w:bCs/>
          <w:color w:val="auto"/>
          <w:sz w:val="24"/>
          <w:szCs w:val="24"/>
        </w:rPr>
        <w:t xml:space="preserve">1.4 Articulación del </w:t>
      </w:r>
      <w:r w:rsidR="00512546" w:rsidRPr="001515ED">
        <w:rPr>
          <w:rFonts w:ascii="Arial" w:hAnsi="Arial" w:cs="Arial"/>
          <w:b/>
          <w:bCs/>
          <w:color w:val="auto"/>
          <w:sz w:val="24"/>
          <w:szCs w:val="24"/>
        </w:rPr>
        <w:t>I</w:t>
      </w:r>
      <w:r w:rsidRPr="001515ED">
        <w:rPr>
          <w:rFonts w:ascii="Arial" w:hAnsi="Arial" w:cs="Arial"/>
          <w:b/>
          <w:bCs/>
          <w:color w:val="auto"/>
          <w:sz w:val="24"/>
          <w:szCs w:val="24"/>
        </w:rPr>
        <w:t xml:space="preserve">nventario </w:t>
      </w:r>
      <w:r w:rsidR="00512546" w:rsidRPr="001515ED">
        <w:rPr>
          <w:rFonts w:ascii="Arial" w:hAnsi="Arial" w:cs="Arial"/>
          <w:b/>
          <w:bCs/>
          <w:color w:val="auto"/>
          <w:sz w:val="24"/>
          <w:szCs w:val="24"/>
        </w:rPr>
        <w:t xml:space="preserve">Municipal </w:t>
      </w:r>
      <w:r w:rsidR="0055324A" w:rsidRPr="001515ED">
        <w:rPr>
          <w:rFonts w:ascii="Arial" w:hAnsi="Arial" w:cs="Arial"/>
          <w:b/>
          <w:bCs/>
          <w:color w:val="auto"/>
          <w:sz w:val="24"/>
          <w:szCs w:val="24"/>
        </w:rPr>
        <w:t xml:space="preserve">de Inmuebles </w:t>
      </w:r>
      <w:r w:rsidRPr="001515ED">
        <w:rPr>
          <w:rFonts w:ascii="Arial" w:hAnsi="Arial" w:cs="Arial"/>
          <w:b/>
          <w:bCs/>
          <w:color w:val="auto"/>
          <w:sz w:val="24"/>
          <w:szCs w:val="24"/>
        </w:rPr>
        <w:t>con un Sistema de Información Geográfica</w:t>
      </w:r>
      <w:bookmarkEnd w:id="26"/>
    </w:p>
    <w:p w14:paraId="0000009C" w14:textId="77777777" w:rsidR="00EF2EEB" w:rsidRPr="005F556D" w:rsidRDefault="00E57539" w:rsidP="005F556D">
      <w:pPr>
        <w:jc w:val="both"/>
        <w:rPr>
          <w:rFonts w:ascii="Arial" w:hAnsi="Arial" w:cs="Arial"/>
        </w:rPr>
      </w:pPr>
      <w:r w:rsidRPr="005F556D">
        <w:rPr>
          <w:rFonts w:ascii="Arial" w:hAnsi="Arial" w:cs="Arial"/>
        </w:rPr>
        <w:t>En los municipios que cuentan con mayores capacidades técnicas, la plantilla puede articularse con un Sistema de Información Geográfica (SIG) para vincular la información espacial asociada a los predios. Esta articulación permite georreferenciar los inmuebles, visualizar su distribución en el territorio y realizar cruces espaciales con información del POT, catastro y cruces con las bases de datos registrales, facilitando la identificación de inconsistencias y la priorización de intervenciones. Cuando existan estas capacidades, la información podrá publicarse en un visor operativo o mapa interactivo que apoye la gestión del inventario.</w:t>
      </w:r>
    </w:p>
    <w:p w14:paraId="0C27C13D" w14:textId="77777777" w:rsidR="003E59F8" w:rsidRDefault="003E59F8">
      <w:pPr>
        <w:pStyle w:val="Ttulo1"/>
        <w:spacing w:before="0" w:after="160" w:line="276" w:lineRule="auto"/>
        <w:jc w:val="both"/>
        <w:rPr>
          <w:rFonts w:ascii="Arial" w:eastAsia="Arial" w:hAnsi="Arial" w:cs="Arial"/>
          <w:b/>
          <w:bCs/>
          <w:color w:val="000000"/>
          <w:sz w:val="24"/>
          <w:szCs w:val="24"/>
        </w:rPr>
      </w:pPr>
    </w:p>
    <w:p w14:paraId="13302D1B" w14:textId="54888256" w:rsidR="005F556D" w:rsidRPr="005F556D" w:rsidRDefault="00E57539" w:rsidP="006F5659">
      <w:pPr>
        <w:pStyle w:val="Ttulo2"/>
      </w:pPr>
      <w:bookmarkStart w:id="27" w:name="_Toc228874214"/>
      <w:r w:rsidRPr="001515ED">
        <w:rPr>
          <w:rFonts w:ascii="Arial" w:hAnsi="Arial" w:cs="Arial"/>
          <w:b/>
          <w:bCs/>
          <w:color w:val="auto"/>
          <w:sz w:val="24"/>
          <w:szCs w:val="24"/>
        </w:rPr>
        <w:t>1.5 Estructura sugerida de la base de datos geográfica</w:t>
      </w:r>
      <w:bookmarkEnd w:id="27"/>
    </w:p>
    <w:p w14:paraId="0000009F" w14:textId="373B4339" w:rsidR="00EF2EEB" w:rsidRDefault="00E57539">
      <w:pPr>
        <w:spacing w:line="276" w:lineRule="auto"/>
        <w:jc w:val="both"/>
        <w:rPr>
          <w:rFonts w:ascii="Arial" w:eastAsia="Arial" w:hAnsi="Arial" w:cs="Arial"/>
          <w:color w:val="000000"/>
        </w:rPr>
      </w:pPr>
      <w:bookmarkStart w:id="28" w:name="_heading=h.4eoct3u7sqh5" w:colFirst="0" w:colLast="0"/>
      <w:bookmarkEnd w:id="28"/>
      <w:r>
        <w:rPr>
          <w:rFonts w:ascii="Arial" w:eastAsia="Arial" w:hAnsi="Arial" w:cs="Arial"/>
          <w:color w:val="000000"/>
        </w:rPr>
        <w:t xml:space="preserve">A continuación, se presentan los </w:t>
      </w:r>
      <w:r>
        <w:rPr>
          <w:rFonts w:ascii="Arial" w:eastAsia="Arial" w:hAnsi="Arial" w:cs="Arial"/>
          <w:b/>
          <w:bCs/>
          <w:color w:val="000000"/>
        </w:rPr>
        <w:t>componentes básicos</w:t>
      </w:r>
      <w:r>
        <w:rPr>
          <w:rFonts w:ascii="Arial" w:eastAsia="Arial" w:hAnsi="Arial" w:cs="Arial"/>
          <w:color w:val="000000"/>
        </w:rPr>
        <w:t xml:space="preserve"> que pueden utilizarse para organizar el inventario dentro de un entorno SIG. Estos componentes funcionan como “bloques” de </w:t>
      </w:r>
      <w:r w:rsidR="00512546">
        <w:rPr>
          <w:rFonts w:ascii="Arial" w:eastAsia="Arial" w:hAnsi="Arial" w:cs="Arial"/>
          <w:color w:val="000000"/>
        </w:rPr>
        <w:t>información; denominados</w:t>
      </w:r>
      <w:r>
        <w:rPr>
          <w:rFonts w:ascii="Arial" w:eastAsia="Arial" w:hAnsi="Arial" w:cs="Arial"/>
          <w:color w:val="000000"/>
        </w:rPr>
        <w:t xml:space="preserve"> </w:t>
      </w:r>
      <w:r>
        <w:rPr>
          <w:rFonts w:ascii="Arial" w:eastAsia="Arial" w:hAnsi="Arial" w:cs="Arial"/>
          <w:i/>
          <w:iCs/>
          <w:color w:val="000000"/>
        </w:rPr>
        <w:t>clases</w:t>
      </w:r>
      <w:r>
        <w:rPr>
          <w:rFonts w:ascii="Arial" w:eastAsia="Arial" w:hAnsi="Arial" w:cs="Arial"/>
          <w:color w:val="000000"/>
        </w:rPr>
        <w:t xml:space="preserve"> en la terminología SIG, que permiten estructurar los datos de manera ordenada y facilitar su relación con la información catastral, registral y territorial. Su uso es opcional y está dirigido a los municipios que </w:t>
      </w:r>
      <w:r>
        <w:rPr>
          <w:rFonts w:ascii="Arial" w:eastAsia="Arial" w:hAnsi="Arial" w:cs="Arial"/>
          <w:color w:val="000000"/>
        </w:rPr>
        <w:lastRenderedPageBreak/>
        <w:t>decidan avanzar hacia una gestión geográfica del inventario, sin que ello constituya un requisito para la implementación inicial de la cartilla.</w:t>
      </w:r>
    </w:p>
    <w:p w14:paraId="000000A0" w14:textId="7AC0A13B" w:rsidR="00EF2EEB" w:rsidRDefault="00E57539">
      <w:pPr>
        <w:spacing w:line="276" w:lineRule="auto"/>
        <w:jc w:val="both"/>
        <w:rPr>
          <w:rFonts w:ascii="Arial" w:eastAsia="Arial" w:hAnsi="Arial" w:cs="Arial"/>
        </w:rPr>
      </w:pPr>
      <w:r>
        <w:rPr>
          <w:rFonts w:ascii="Arial" w:eastAsia="Arial" w:hAnsi="Arial" w:cs="Arial"/>
        </w:rPr>
        <w:t xml:space="preserve">En el Anexo No 4 se incluye el Diccionario de datos de la base de datos para la conformación del Inventario </w:t>
      </w:r>
      <w:r w:rsidR="0055324A">
        <w:rPr>
          <w:rFonts w:ascii="Arial" w:eastAsia="Arial" w:hAnsi="Arial" w:cs="Arial"/>
        </w:rPr>
        <w:t xml:space="preserve">Municipal </w:t>
      </w:r>
      <w:r>
        <w:rPr>
          <w:rFonts w:ascii="Arial" w:eastAsia="Arial" w:hAnsi="Arial" w:cs="Arial"/>
        </w:rPr>
        <w:t>Inmobiliario como documento que describe detalladamente la estructura, clases, campos, tipos de datos, restricciones y relaciones de la base de datos.</w:t>
      </w:r>
    </w:p>
    <w:p w14:paraId="6ADC0F95" w14:textId="77777777" w:rsidR="006F5659" w:rsidRDefault="006F5659">
      <w:pPr>
        <w:spacing w:line="276" w:lineRule="auto"/>
        <w:jc w:val="both"/>
        <w:rPr>
          <w:rFonts w:ascii="Arial" w:eastAsia="Arial" w:hAnsi="Arial" w:cs="Arial"/>
        </w:rPr>
      </w:pPr>
    </w:p>
    <w:p w14:paraId="09372766" w14:textId="7AEA5A6C" w:rsidR="006F50F2" w:rsidRDefault="00E57539" w:rsidP="007605E9">
      <w:pPr>
        <w:jc w:val="center"/>
        <w:rPr>
          <w:rFonts w:ascii="Arial" w:hAnsi="Arial" w:cs="Arial"/>
        </w:rPr>
      </w:pPr>
      <w:r w:rsidRPr="00FF7294">
        <w:rPr>
          <w:rFonts w:ascii="Arial" w:hAnsi="Arial" w:cs="Arial"/>
          <w:b/>
          <w:bCs/>
        </w:rPr>
        <w:t>Tabla No 2. Clases sugeridas para la organización del inventario</w:t>
      </w:r>
      <w:bookmarkStart w:id="29" w:name="_heading=h.ypfo6ucgrsfw" w:colFirst="0" w:colLast="0"/>
      <w:bookmarkStart w:id="30" w:name="_heading=h.qtom95gcz2bt" w:colFirst="0" w:colLast="0"/>
      <w:bookmarkEnd w:id="29"/>
      <w:bookmarkEnd w:id="30"/>
    </w:p>
    <w:tbl>
      <w:tblPr>
        <w:tblStyle w:val="a"/>
        <w:tblW w:w="835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910"/>
        <w:gridCol w:w="5445"/>
      </w:tblGrid>
      <w:tr w:rsidR="00AE06B4" w14:paraId="1F84FED5" w14:textId="77777777" w:rsidTr="00AE06B4">
        <w:trPr>
          <w:trHeight w:val="300"/>
          <w:tblHeader/>
          <w:jc w:val="center"/>
        </w:trPr>
        <w:tc>
          <w:tcPr>
            <w:tcW w:w="2910" w:type="dxa"/>
            <w:tcBorders>
              <w:top w:val="single" w:sz="5" w:space="0" w:color="000000"/>
              <w:left w:val="single" w:sz="5" w:space="0" w:color="000000"/>
              <w:bottom w:val="single" w:sz="5" w:space="0" w:color="000000"/>
              <w:right w:val="single" w:sz="5" w:space="0" w:color="000000"/>
            </w:tcBorders>
            <w:shd w:val="clear" w:color="auto" w:fill="C0E6F5"/>
            <w:tcMar>
              <w:top w:w="0" w:type="dxa"/>
              <w:left w:w="100" w:type="dxa"/>
              <w:bottom w:w="0" w:type="dxa"/>
              <w:right w:w="100" w:type="dxa"/>
            </w:tcMar>
            <w:vAlign w:val="center"/>
          </w:tcPr>
          <w:p w14:paraId="6C5E2EC1" w14:textId="7137C201" w:rsidR="00AE06B4" w:rsidRPr="00AE06B4" w:rsidRDefault="00AE06B4" w:rsidP="00AE06B4">
            <w:pPr>
              <w:spacing w:before="240" w:after="0" w:line="276" w:lineRule="auto"/>
              <w:jc w:val="center"/>
              <w:rPr>
                <w:rFonts w:ascii="Arial" w:eastAsia="Arial" w:hAnsi="Arial" w:cs="Arial"/>
                <w:b/>
                <w:bCs/>
                <w:sz w:val="20"/>
                <w:szCs w:val="20"/>
              </w:rPr>
            </w:pPr>
            <w:r w:rsidRPr="00AE06B4">
              <w:rPr>
                <w:rFonts w:ascii="Arial" w:hAnsi="Arial" w:cs="Arial"/>
                <w:b/>
                <w:bCs/>
                <w:sz w:val="20"/>
                <w:szCs w:val="20"/>
              </w:rPr>
              <w:t>Clase</w:t>
            </w:r>
          </w:p>
        </w:tc>
        <w:tc>
          <w:tcPr>
            <w:tcW w:w="5445" w:type="dxa"/>
            <w:tcBorders>
              <w:top w:val="single" w:sz="5" w:space="0" w:color="000000"/>
              <w:left w:val="nil"/>
              <w:bottom w:val="single" w:sz="5" w:space="0" w:color="000000"/>
              <w:right w:val="single" w:sz="5" w:space="0" w:color="000000"/>
            </w:tcBorders>
            <w:shd w:val="clear" w:color="auto" w:fill="C0E6F5"/>
            <w:tcMar>
              <w:top w:w="0" w:type="dxa"/>
              <w:left w:w="100" w:type="dxa"/>
              <w:bottom w:w="0" w:type="dxa"/>
              <w:right w:w="100" w:type="dxa"/>
            </w:tcMar>
            <w:vAlign w:val="center"/>
          </w:tcPr>
          <w:p w14:paraId="74348FFE" w14:textId="2B9DB9BE" w:rsidR="00AE06B4" w:rsidRPr="00AE06B4" w:rsidRDefault="00AE06B4" w:rsidP="00AE06B4">
            <w:pPr>
              <w:spacing w:before="240" w:after="0" w:line="276" w:lineRule="auto"/>
              <w:jc w:val="center"/>
              <w:rPr>
                <w:rFonts w:ascii="Arial" w:eastAsia="Arial" w:hAnsi="Arial" w:cs="Arial"/>
                <w:b/>
                <w:bCs/>
                <w:sz w:val="20"/>
                <w:szCs w:val="20"/>
              </w:rPr>
            </w:pPr>
            <w:r w:rsidRPr="00AE06B4">
              <w:rPr>
                <w:rFonts w:ascii="Arial" w:hAnsi="Arial" w:cs="Arial"/>
                <w:b/>
                <w:bCs/>
                <w:sz w:val="20"/>
                <w:szCs w:val="20"/>
              </w:rPr>
              <w:t>Descripción</w:t>
            </w:r>
          </w:p>
        </w:tc>
      </w:tr>
      <w:tr w:rsidR="000B17C3" w14:paraId="55A97DB0" w14:textId="77777777" w:rsidTr="00AE06B4">
        <w:trPr>
          <w:trHeight w:val="961"/>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9C4E064" w14:textId="351DF904" w:rsidR="000B17C3" w:rsidRPr="00AE06B4" w:rsidRDefault="000B17C3" w:rsidP="00AE06B4">
            <w:pPr>
              <w:spacing w:before="240" w:after="0" w:line="276" w:lineRule="auto"/>
              <w:rPr>
                <w:rFonts w:ascii="Arial" w:eastAsia="Arial" w:hAnsi="Arial" w:cs="Arial"/>
                <w:b/>
                <w:bCs/>
                <w:sz w:val="20"/>
                <w:szCs w:val="20"/>
              </w:rPr>
            </w:pPr>
            <w:bookmarkStart w:id="31" w:name="RANGE!B3"/>
            <w:r w:rsidRPr="00AE06B4">
              <w:rPr>
                <w:rFonts w:ascii="Arial" w:hAnsi="Arial" w:cs="Arial"/>
                <w:b/>
                <w:bCs/>
                <w:color w:val="000000"/>
                <w:sz w:val="20"/>
                <w:szCs w:val="20"/>
              </w:rPr>
              <w:t>IP_Terreno</w:t>
            </w:r>
            <w:bookmarkEnd w:id="31"/>
          </w:p>
        </w:tc>
        <w:tc>
          <w:tcPr>
            <w:tcW w:w="544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0E1132E" w14:textId="3053D3CF" w:rsidR="000B17C3" w:rsidRPr="00AE06B4" w:rsidRDefault="000B17C3" w:rsidP="00AE06B4">
            <w:pPr>
              <w:spacing w:after="0" w:line="276" w:lineRule="auto"/>
              <w:rPr>
                <w:rFonts w:ascii="Arial" w:eastAsia="Arial" w:hAnsi="Arial" w:cs="Arial"/>
                <w:sz w:val="20"/>
                <w:szCs w:val="20"/>
              </w:rPr>
            </w:pPr>
            <w:bookmarkStart w:id="32" w:name="RANGE!C3"/>
            <w:r w:rsidRPr="00AE06B4">
              <w:rPr>
                <w:rFonts w:ascii="Arial" w:hAnsi="Arial" w:cs="Arial"/>
                <w:color w:val="000000"/>
                <w:sz w:val="20"/>
                <w:szCs w:val="20"/>
              </w:rPr>
              <w:t>Porción de tierra con una extensión geográfica definida. Se utilizará la estructura del modelo extendido catastro - registro v 4.1</w:t>
            </w:r>
            <w:bookmarkEnd w:id="32"/>
          </w:p>
        </w:tc>
      </w:tr>
      <w:tr w:rsidR="000B17C3" w14:paraId="422BBFB2" w14:textId="77777777" w:rsidTr="00AE06B4">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247A8B2" w14:textId="0922A5AA" w:rsidR="000B17C3" w:rsidRPr="00AE06B4" w:rsidRDefault="000B17C3" w:rsidP="00AE06B4">
            <w:pPr>
              <w:spacing w:before="240" w:after="0" w:line="276" w:lineRule="auto"/>
              <w:rPr>
                <w:rFonts w:ascii="Arial" w:eastAsia="Arial" w:hAnsi="Arial" w:cs="Arial"/>
                <w:b/>
                <w:bCs/>
                <w:sz w:val="20"/>
                <w:szCs w:val="20"/>
              </w:rPr>
            </w:pPr>
            <w:bookmarkStart w:id="33" w:name="RANGE!B4"/>
            <w:r w:rsidRPr="00AE06B4">
              <w:rPr>
                <w:rFonts w:ascii="Arial" w:hAnsi="Arial" w:cs="Arial"/>
                <w:b/>
                <w:bCs/>
                <w:color w:val="000000"/>
                <w:sz w:val="20"/>
                <w:szCs w:val="20"/>
              </w:rPr>
              <w:t>IP_Predio</w:t>
            </w:r>
            <w:bookmarkEnd w:id="33"/>
          </w:p>
        </w:tc>
        <w:tc>
          <w:tcPr>
            <w:tcW w:w="544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21F9F36" w14:textId="3E11E66B" w:rsidR="000B17C3" w:rsidRPr="00AE06B4" w:rsidRDefault="000B17C3" w:rsidP="00AE06B4">
            <w:pPr>
              <w:spacing w:after="0" w:line="276" w:lineRule="auto"/>
              <w:rPr>
                <w:rFonts w:ascii="Arial" w:eastAsia="Arial" w:hAnsi="Arial" w:cs="Arial"/>
                <w:sz w:val="20"/>
                <w:szCs w:val="20"/>
              </w:rPr>
            </w:pPr>
            <w:bookmarkStart w:id="34" w:name="RANGE!C4"/>
            <w:r w:rsidRPr="00AE06B4">
              <w:rPr>
                <w:rFonts w:ascii="Arial" w:hAnsi="Arial" w:cs="Arial"/>
                <w:color w:val="000000"/>
                <w:sz w:val="20"/>
                <w:szCs w:val="20"/>
              </w:rPr>
              <w:t>El predio es la unidad territorial legal propia de Catastro. Está formada por el terreno y puede o no tener construcciones asociadas. Se utilizará la estructura del modelo extendido catastro - registro v 4.1</w:t>
            </w:r>
            <w:bookmarkEnd w:id="34"/>
          </w:p>
        </w:tc>
      </w:tr>
      <w:tr w:rsidR="000B17C3" w14:paraId="5B6F9231" w14:textId="77777777" w:rsidTr="00AE06B4">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365EADB" w14:textId="7EFFA5F2" w:rsidR="000B17C3" w:rsidRPr="00AE06B4" w:rsidRDefault="000B17C3" w:rsidP="00AE06B4">
            <w:pPr>
              <w:spacing w:before="240" w:after="0" w:line="276" w:lineRule="auto"/>
              <w:rPr>
                <w:rFonts w:ascii="Arial" w:eastAsia="Arial" w:hAnsi="Arial" w:cs="Arial"/>
                <w:b/>
                <w:bCs/>
                <w:sz w:val="20"/>
                <w:szCs w:val="20"/>
              </w:rPr>
            </w:pPr>
            <w:bookmarkStart w:id="35" w:name="RANGE!B5"/>
            <w:r w:rsidRPr="00AE06B4">
              <w:rPr>
                <w:rFonts w:ascii="Arial" w:hAnsi="Arial" w:cs="Arial"/>
                <w:b/>
                <w:bCs/>
                <w:color w:val="000000"/>
                <w:sz w:val="20"/>
                <w:szCs w:val="20"/>
              </w:rPr>
              <w:t>IP_Derecho</w:t>
            </w:r>
            <w:bookmarkEnd w:id="35"/>
          </w:p>
        </w:tc>
        <w:tc>
          <w:tcPr>
            <w:tcW w:w="544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7EF8936" w14:textId="4A756EA5" w:rsidR="000B17C3" w:rsidRPr="00AE06B4" w:rsidRDefault="000B17C3" w:rsidP="00AE06B4">
            <w:pPr>
              <w:spacing w:after="0" w:line="276" w:lineRule="auto"/>
              <w:rPr>
                <w:rFonts w:ascii="Arial" w:eastAsia="Arial" w:hAnsi="Arial" w:cs="Arial"/>
                <w:sz w:val="20"/>
                <w:szCs w:val="20"/>
              </w:rPr>
            </w:pPr>
            <w:bookmarkStart w:id="36" w:name="RANGE!C5"/>
            <w:r w:rsidRPr="00AE06B4">
              <w:rPr>
                <w:rFonts w:ascii="Arial" w:hAnsi="Arial" w:cs="Arial"/>
                <w:color w:val="000000"/>
                <w:sz w:val="20"/>
                <w:szCs w:val="20"/>
              </w:rPr>
              <w:t>Clase que registra las instancias de los derechos que un interesado ejerce sobre un predio. Se utilizará la estructura del modelo extendido catastro - registro v 4.1</w:t>
            </w:r>
            <w:bookmarkEnd w:id="36"/>
          </w:p>
        </w:tc>
      </w:tr>
      <w:tr w:rsidR="000B17C3" w14:paraId="080E91C0" w14:textId="77777777" w:rsidTr="00AE06B4">
        <w:trPr>
          <w:trHeight w:val="70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24836C5" w14:textId="5B284B2D" w:rsidR="000B17C3" w:rsidRPr="00AE06B4" w:rsidRDefault="000B17C3" w:rsidP="00AE06B4">
            <w:pPr>
              <w:spacing w:before="240" w:after="0" w:line="276" w:lineRule="auto"/>
              <w:rPr>
                <w:rFonts w:ascii="Arial" w:eastAsia="Arial" w:hAnsi="Arial" w:cs="Arial"/>
                <w:b/>
                <w:bCs/>
                <w:sz w:val="20"/>
                <w:szCs w:val="20"/>
              </w:rPr>
            </w:pPr>
            <w:bookmarkStart w:id="37" w:name="RANGE!B6"/>
            <w:r w:rsidRPr="00AE06B4">
              <w:rPr>
                <w:rFonts w:ascii="Arial" w:hAnsi="Arial" w:cs="Arial"/>
                <w:b/>
                <w:bCs/>
                <w:color w:val="000000"/>
                <w:sz w:val="20"/>
                <w:szCs w:val="20"/>
              </w:rPr>
              <w:t>IP_Interesado</w:t>
            </w:r>
            <w:bookmarkEnd w:id="37"/>
          </w:p>
        </w:tc>
        <w:tc>
          <w:tcPr>
            <w:tcW w:w="544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769FCA9" w14:textId="44380469" w:rsidR="000B17C3" w:rsidRPr="00AE06B4" w:rsidRDefault="000B17C3" w:rsidP="00AE06B4">
            <w:pPr>
              <w:spacing w:after="0" w:line="276" w:lineRule="auto"/>
              <w:rPr>
                <w:rFonts w:ascii="Arial" w:eastAsia="Arial" w:hAnsi="Arial" w:cs="Arial"/>
                <w:sz w:val="20"/>
                <w:szCs w:val="20"/>
              </w:rPr>
            </w:pPr>
            <w:bookmarkStart w:id="38" w:name="RANGE!C6"/>
            <w:r w:rsidRPr="00AE06B4">
              <w:rPr>
                <w:rFonts w:ascii="Arial" w:hAnsi="Arial" w:cs="Arial"/>
                <w:color w:val="000000"/>
                <w:sz w:val="20"/>
                <w:szCs w:val="20"/>
              </w:rPr>
              <w:t>Es la parte que tiene una relación con el predio por algún tipo de derecho, restricción, publicidad o responsabilidad. Se utilizará la estructura del modelo extendido catastro - registro v 4.1</w:t>
            </w:r>
            <w:bookmarkEnd w:id="38"/>
          </w:p>
        </w:tc>
      </w:tr>
      <w:tr w:rsidR="000B17C3" w14:paraId="31889EEA" w14:textId="77777777" w:rsidTr="00AE06B4">
        <w:trPr>
          <w:trHeight w:val="87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1FA28A0" w14:textId="255BC938" w:rsidR="000B17C3" w:rsidRPr="00AE06B4" w:rsidRDefault="000B17C3" w:rsidP="00AE06B4">
            <w:pPr>
              <w:spacing w:before="240" w:after="0" w:line="276" w:lineRule="auto"/>
              <w:rPr>
                <w:rFonts w:ascii="Arial" w:eastAsia="Arial" w:hAnsi="Arial" w:cs="Arial"/>
                <w:b/>
                <w:bCs/>
                <w:sz w:val="20"/>
                <w:szCs w:val="20"/>
              </w:rPr>
            </w:pPr>
            <w:bookmarkStart w:id="39" w:name="RANGE!B7"/>
            <w:r w:rsidRPr="00AE06B4">
              <w:rPr>
                <w:rFonts w:ascii="Arial" w:hAnsi="Arial" w:cs="Arial"/>
                <w:b/>
                <w:bCs/>
                <w:color w:val="000000"/>
                <w:sz w:val="20"/>
                <w:szCs w:val="20"/>
              </w:rPr>
              <w:t>IP_RutaSaneamiento</w:t>
            </w:r>
            <w:bookmarkEnd w:id="39"/>
          </w:p>
        </w:tc>
        <w:tc>
          <w:tcPr>
            <w:tcW w:w="544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4F54C9A" w14:textId="16BF1B75" w:rsidR="000B17C3" w:rsidRPr="00AE06B4" w:rsidRDefault="000B17C3" w:rsidP="00AE06B4">
            <w:pPr>
              <w:spacing w:after="0" w:line="276" w:lineRule="auto"/>
              <w:rPr>
                <w:rFonts w:ascii="Arial" w:eastAsia="Arial" w:hAnsi="Arial" w:cs="Arial"/>
                <w:sz w:val="20"/>
                <w:szCs w:val="20"/>
              </w:rPr>
            </w:pPr>
            <w:bookmarkStart w:id="40" w:name="RANGE!C7"/>
            <w:r w:rsidRPr="00AE06B4">
              <w:rPr>
                <w:rFonts w:ascii="Arial" w:hAnsi="Arial" w:cs="Arial"/>
                <w:color w:val="000000"/>
                <w:sz w:val="20"/>
                <w:szCs w:val="20"/>
              </w:rPr>
              <w:t>Clase que almacena las rutas asignadas para adelantar el proceso de formalización o legalización de predios</w:t>
            </w:r>
            <w:bookmarkEnd w:id="40"/>
          </w:p>
        </w:tc>
      </w:tr>
      <w:tr w:rsidR="000B17C3" w14:paraId="18384DB5" w14:textId="77777777" w:rsidTr="00AE06B4">
        <w:trPr>
          <w:trHeight w:val="465"/>
          <w:jc w:val="center"/>
        </w:trPr>
        <w:tc>
          <w:tcPr>
            <w:tcW w:w="291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1455138" w14:textId="23031279" w:rsidR="000B17C3" w:rsidRPr="00AE06B4" w:rsidRDefault="000B17C3" w:rsidP="00AE06B4">
            <w:pPr>
              <w:spacing w:before="240" w:after="0" w:line="276" w:lineRule="auto"/>
              <w:rPr>
                <w:rFonts w:ascii="Arial" w:eastAsia="Arial" w:hAnsi="Arial" w:cs="Arial"/>
                <w:b/>
                <w:bCs/>
                <w:sz w:val="20"/>
                <w:szCs w:val="20"/>
              </w:rPr>
            </w:pPr>
            <w:bookmarkStart w:id="41" w:name="RANGE!B8"/>
            <w:r w:rsidRPr="00AE06B4">
              <w:rPr>
                <w:rFonts w:ascii="Arial" w:hAnsi="Arial" w:cs="Arial"/>
                <w:b/>
                <w:bCs/>
                <w:color w:val="000000"/>
                <w:sz w:val="20"/>
                <w:szCs w:val="20"/>
              </w:rPr>
              <w:t>IP_FuenteAdministrativa</w:t>
            </w:r>
            <w:bookmarkEnd w:id="41"/>
          </w:p>
        </w:tc>
        <w:tc>
          <w:tcPr>
            <w:tcW w:w="544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3B49C5DC" w14:textId="0D57C96A" w:rsidR="000B17C3" w:rsidRPr="00AE06B4" w:rsidRDefault="000B17C3" w:rsidP="00AE06B4">
            <w:pPr>
              <w:spacing w:after="0" w:line="276" w:lineRule="auto"/>
              <w:rPr>
                <w:rFonts w:ascii="Arial" w:eastAsia="Arial" w:hAnsi="Arial" w:cs="Arial"/>
                <w:sz w:val="20"/>
                <w:szCs w:val="20"/>
              </w:rPr>
            </w:pPr>
            <w:bookmarkStart w:id="42" w:name="RANGE!C8"/>
            <w:r w:rsidRPr="00AE06B4">
              <w:rPr>
                <w:rFonts w:ascii="Arial" w:hAnsi="Arial" w:cs="Arial"/>
                <w:color w:val="000000"/>
                <w:sz w:val="20"/>
                <w:szCs w:val="20"/>
              </w:rPr>
              <w:t>Clase que almacena las fuentes administrativas (escrituras, sentencias, actos administrativos, etc) que sustentan el derecho respecto de la relación de tenencia entre el Interesado y el predio producto de los procesos de formalización y legalización. Se utilizará la estructura del modelo extendido catastro - registro v 4.1</w:t>
            </w:r>
            <w:bookmarkEnd w:id="42"/>
          </w:p>
        </w:tc>
      </w:tr>
    </w:tbl>
    <w:p w14:paraId="231FD717" w14:textId="77777777" w:rsidR="00C746DD" w:rsidRDefault="00C746DD" w:rsidP="006F50F2">
      <w:pPr>
        <w:jc w:val="both"/>
        <w:rPr>
          <w:rFonts w:ascii="Arial" w:hAnsi="Arial" w:cs="Arial"/>
        </w:rPr>
      </w:pPr>
    </w:p>
    <w:p w14:paraId="000000B2" w14:textId="215D0936" w:rsidR="00EF2EEB" w:rsidRPr="006F50F2" w:rsidRDefault="00E57539" w:rsidP="006F50F2">
      <w:pPr>
        <w:jc w:val="both"/>
        <w:rPr>
          <w:rFonts w:ascii="Arial" w:hAnsi="Arial" w:cs="Arial"/>
        </w:rPr>
      </w:pPr>
      <w:r w:rsidRPr="006F50F2">
        <w:rPr>
          <w:rFonts w:ascii="Arial" w:hAnsi="Arial" w:cs="Arial"/>
        </w:rPr>
        <w:t xml:space="preserve">Adicionalmente en el Anexo No 5 se presenta un esquema general que muestra cómo se organiza la información del inventario y cómo se relacionan entre sí sus diferentes </w:t>
      </w:r>
      <w:r w:rsidRPr="006F50F2">
        <w:rPr>
          <w:rFonts w:ascii="Arial" w:hAnsi="Arial" w:cs="Arial"/>
        </w:rPr>
        <w:lastRenderedPageBreak/>
        <w:t xml:space="preserve">grupos de datos. En los entornos SIG, este tipo de esquema se conoce como un diagrama UML, pero aquí se utiliza únicamente como una guía visual para entender la estructura de la base de datos. Esta base de datos permitirá conformar el inventario </w:t>
      </w:r>
      <w:r w:rsidR="00512546" w:rsidRPr="006F50F2">
        <w:rPr>
          <w:rFonts w:ascii="Arial" w:hAnsi="Arial" w:cs="Arial"/>
        </w:rPr>
        <w:t>municipal</w:t>
      </w:r>
      <w:r w:rsidR="0055324A" w:rsidRPr="006F50F2">
        <w:rPr>
          <w:rFonts w:ascii="Arial" w:hAnsi="Arial" w:cs="Arial"/>
        </w:rPr>
        <w:t xml:space="preserve"> inmobiliario</w:t>
      </w:r>
      <w:r w:rsidRPr="006F50F2">
        <w:rPr>
          <w:rFonts w:ascii="Arial" w:hAnsi="Arial" w:cs="Arial"/>
        </w:rPr>
        <w:t>, realizar el seguimiento a los procesos de formalización y legalización, y facilitar el intercambio de información con otras dependencias o entidades, contribuyendo al mantenimiento y actualización del dato catastral.</w:t>
      </w:r>
    </w:p>
    <w:p w14:paraId="000000B3" w14:textId="77777777" w:rsidR="00EF2EEB" w:rsidRDefault="00EF2EEB"/>
    <w:p w14:paraId="000000B4" w14:textId="77777777" w:rsidR="00EF2EEB" w:rsidRDefault="00EF2EEB">
      <w:pPr>
        <w:pStyle w:val="Ttulo1"/>
        <w:spacing w:before="0" w:after="160" w:line="301" w:lineRule="auto"/>
        <w:jc w:val="center"/>
        <w:rPr>
          <w:rFonts w:ascii="Arial" w:eastAsia="Arial" w:hAnsi="Arial" w:cs="Arial"/>
          <w:b/>
          <w:bCs/>
          <w:color w:val="000000"/>
          <w:sz w:val="24"/>
          <w:szCs w:val="24"/>
        </w:rPr>
      </w:pPr>
    </w:p>
    <w:p w14:paraId="000000B5" w14:textId="77777777" w:rsidR="00EF2EEB" w:rsidRDefault="00EF2EEB">
      <w:pPr>
        <w:pStyle w:val="Ttulo1"/>
        <w:spacing w:before="0" w:after="160" w:line="301" w:lineRule="auto"/>
        <w:jc w:val="center"/>
        <w:rPr>
          <w:rFonts w:ascii="Arial" w:eastAsia="Arial" w:hAnsi="Arial" w:cs="Arial"/>
          <w:b/>
          <w:bCs/>
          <w:color w:val="000000"/>
          <w:sz w:val="24"/>
          <w:szCs w:val="24"/>
        </w:rPr>
      </w:pPr>
    </w:p>
    <w:p w14:paraId="000000B6" w14:textId="77777777" w:rsidR="00EF2EEB" w:rsidRDefault="00EF2EEB">
      <w:pPr>
        <w:rPr>
          <w:rFonts w:ascii="Arial" w:eastAsia="Arial" w:hAnsi="Arial" w:cs="Arial"/>
          <w:b/>
          <w:bCs/>
          <w:color w:val="000000"/>
        </w:rPr>
        <w:sectPr w:rsidR="00EF2EEB">
          <w:headerReference w:type="default" r:id="rId13"/>
          <w:footerReference w:type="default" r:id="rId14"/>
          <w:pgSz w:w="12240" w:h="15840"/>
          <w:pgMar w:top="1417" w:right="1185" w:bottom="1417" w:left="1700" w:header="708" w:footer="708" w:gutter="0"/>
          <w:pgNumType w:start="1"/>
          <w:cols w:space="720"/>
        </w:sectPr>
      </w:pPr>
    </w:p>
    <w:p w14:paraId="000000B9" w14:textId="5927774E" w:rsidR="00EF2EEB" w:rsidRPr="00D11915" w:rsidRDefault="00E57539" w:rsidP="00D11915">
      <w:pPr>
        <w:pStyle w:val="Ttulo1"/>
        <w:jc w:val="center"/>
        <w:rPr>
          <w:rFonts w:ascii="Arial" w:hAnsi="Arial" w:cs="Arial"/>
          <w:b/>
          <w:bCs/>
          <w:color w:val="auto"/>
          <w:sz w:val="24"/>
          <w:szCs w:val="24"/>
        </w:rPr>
      </w:pPr>
      <w:bookmarkStart w:id="44" w:name="_heading=h.hpri84tjj8f7" w:colFirst="0" w:colLast="0"/>
      <w:bookmarkStart w:id="45" w:name="_heading=h.mhvcpp6t3zit" w:colFirst="0" w:colLast="0"/>
      <w:bookmarkStart w:id="46" w:name="_Toc228874215"/>
      <w:bookmarkEnd w:id="44"/>
      <w:bookmarkEnd w:id="45"/>
      <w:r w:rsidRPr="00D11915">
        <w:rPr>
          <w:rFonts w:ascii="Arial" w:hAnsi="Arial" w:cs="Arial"/>
          <w:b/>
          <w:bCs/>
          <w:color w:val="auto"/>
          <w:sz w:val="24"/>
          <w:szCs w:val="24"/>
        </w:rPr>
        <w:lastRenderedPageBreak/>
        <w:t>Capítulo 2.</w:t>
      </w:r>
      <w:r w:rsidR="00E63298">
        <w:rPr>
          <w:rFonts w:ascii="Arial" w:hAnsi="Arial" w:cs="Arial"/>
          <w:b/>
          <w:bCs/>
          <w:color w:val="auto"/>
          <w:sz w:val="24"/>
          <w:szCs w:val="24"/>
        </w:rPr>
        <w:t xml:space="preserve"> </w:t>
      </w:r>
      <w:bookmarkStart w:id="47" w:name="_heading=h.br3tckx5l2wy" w:colFirst="0" w:colLast="0"/>
      <w:bookmarkEnd w:id="47"/>
      <w:r w:rsidRPr="00D11915">
        <w:rPr>
          <w:rFonts w:ascii="Arial" w:hAnsi="Arial" w:cs="Arial"/>
          <w:b/>
          <w:bCs/>
          <w:color w:val="auto"/>
          <w:sz w:val="24"/>
          <w:szCs w:val="24"/>
        </w:rPr>
        <w:t>Pasos para la conformación del inventario municipal de inmuebles</w:t>
      </w:r>
      <w:bookmarkEnd w:id="46"/>
    </w:p>
    <w:p w14:paraId="000000BA" w14:textId="77777777" w:rsidR="00EF2EEB" w:rsidRDefault="00EF2EEB">
      <w:pPr>
        <w:spacing w:line="276" w:lineRule="auto"/>
        <w:jc w:val="both"/>
        <w:rPr>
          <w:rFonts w:ascii="Arial" w:eastAsia="Arial" w:hAnsi="Arial" w:cs="Arial"/>
        </w:rPr>
      </w:pPr>
    </w:p>
    <w:p w14:paraId="000000BB" w14:textId="77777777" w:rsidR="00EF2EEB" w:rsidRDefault="00E57539">
      <w:pPr>
        <w:spacing w:line="276" w:lineRule="auto"/>
        <w:jc w:val="both"/>
        <w:rPr>
          <w:rFonts w:ascii="Arial" w:eastAsia="Arial" w:hAnsi="Arial" w:cs="Arial"/>
        </w:rPr>
      </w:pPr>
      <w:r>
        <w:rPr>
          <w:rFonts w:ascii="Arial" w:eastAsia="Arial" w:hAnsi="Arial" w:cs="Arial"/>
        </w:rPr>
        <w:t>La conformación del inventario municipal de inmuebles es un proceso progresivo que permite identificar, depurar, clasificar y organizar la información sobre los bienes inmuebles del municipio. Este proceso se desarrolla en cinco pasos consecutivos que orientan la construcción de una base de datos confiable, interoperable y útil para la gestión predial y la asignación de rutas de saneamiento.</w:t>
      </w:r>
    </w:p>
    <w:p w14:paraId="000000BC" w14:textId="77777777" w:rsidR="00EF2EEB" w:rsidRDefault="00E57539">
      <w:pPr>
        <w:spacing w:line="276" w:lineRule="auto"/>
        <w:rPr>
          <w:rFonts w:ascii="Arial" w:eastAsia="Arial" w:hAnsi="Arial" w:cs="Arial"/>
        </w:rPr>
      </w:pPr>
      <w:r>
        <w:rPr>
          <w:rFonts w:ascii="Arial" w:eastAsia="Arial" w:hAnsi="Arial" w:cs="Arial"/>
        </w:rPr>
        <w:t>La siguiente gráfica presenta de manera general la ruta metodológica que se desarrolla en este capítulo.</w:t>
      </w:r>
    </w:p>
    <w:p w14:paraId="36367043" w14:textId="77777777" w:rsidR="006F5659" w:rsidRDefault="006F5659">
      <w:pPr>
        <w:spacing w:line="276" w:lineRule="auto"/>
        <w:rPr>
          <w:rFonts w:ascii="Arial" w:eastAsia="Arial" w:hAnsi="Arial" w:cs="Arial"/>
        </w:rPr>
      </w:pPr>
    </w:p>
    <w:p w14:paraId="000000BD" w14:textId="77777777" w:rsidR="00EF2EEB" w:rsidRDefault="00E57539">
      <w:pPr>
        <w:spacing w:before="240" w:after="240" w:line="276" w:lineRule="auto"/>
        <w:jc w:val="center"/>
        <w:rPr>
          <w:rFonts w:ascii="Arial" w:eastAsia="Arial" w:hAnsi="Arial" w:cs="Arial"/>
        </w:rPr>
      </w:pPr>
      <w:r>
        <w:rPr>
          <w:rFonts w:ascii="Arial" w:eastAsia="Arial" w:hAnsi="Arial" w:cs="Arial"/>
          <w:b/>
          <w:bCs/>
        </w:rPr>
        <w:t>Gráfica N° 2. Pasos conformación inventario municipal de inmuebles</w:t>
      </w:r>
    </w:p>
    <w:p w14:paraId="000000BF" w14:textId="77777777" w:rsidR="00EF2EEB" w:rsidRDefault="00E57539">
      <w:pPr>
        <w:spacing w:before="280" w:after="280" w:line="240" w:lineRule="auto"/>
        <w:jc w:val="center"/>
        <w:rPr>
          <w:rFonts w:ascii="Arial Narrow" w:eastAsia="Arial Narrow" w:hAnsi="Arial Narrow" w:cs="Arial Narrow"/>
          <w:b/>
          <w:bCs/>
        </w:rPr>
      </w:pPr>
      <w:r>
        <w:rPr>
          <w:rFonts w:ascii="Arial Narrow" w:eastAsia="Arial Narrow" w:hAnsi="Arial Narrow" w:cs="Arial Narrow"/>
          <w:b/>
          <w:bCs/>
          <w:noProof/>
        </w:rPr>
        <w:drawing>
          <wp:inline distT="114300" distB="114300" distL="114300" distR="114300" wp14:anchorId="3199B7F0" wp14:editId="71323E89">
            <wp:extent cx="5943600" cy="2700655"/>
            <wp:effectExtent l="0" t="0" r="0" b="0"/>
            <wp:docPr id="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t="23618" b="15719"/>
                    <a:stretch>
                      <a:fillRect/>
                    </a:stretch>
                  </pic:blipFill>
                  <pic:spPr>
                    <a:xfrm>
                      <a:off x="0" y="0"/>
                      <a:ext cx="5943600" cy="2700655"/>
                    </a:xfrm>
                    <a:prstGeom prst="rect">
                      <a:avLst/>
                    </a:prstGeom>
                    <a:ln/>
                  </pic:spPr>
                </pic:pic>
              </a:graphicData>
            </a:graphic>
          </wp:inline>
        </w:drawing>
      </w:r>
    </w:p>
    <w:p w14:paraId="000000C0" w14:textId="77777777" w:rsidR="00EF2EEB" w:rsidRDefault="00E57539">
      <w:pPr>
        <w:spacing w:before="280" w:after="280" w:line="240" w:lineRule="auto"/>
        <w:jc w:val="center"/>
        <w:rPr>
          <w:rFonts w:ascii="Arial Narrow" w:eastAsia="Arial Narrow" w:hAnsi="Arial Narrow" w:cs="Arial Narrow"/>
          <w:sz w:val="18"/>
          <w:szCs w:val="18"/>
        </w:rPr>
      </w:pPr>
      <w:r>
        <w:rPr>
          <w:rFonts w:ascii="Arial Narrow" w:eastAsia="Arial Narrow" w:hAnsi="Arial Narrow" w:cs="Arial Narrow"/>
          <w:b/>
          <w:bCs/>
        </w:rPr>
        <w:t xml:space="preserve"> </w:t>
      </w:r>
      <w:r>
        <w:rPr>
          <w:rFonts w:ascii="Arial Narrow" w:eastAsia="Arial Narrow" w:hAnsi="Arial Narrow" w:cs="Arial Narrow"/>
          <w:sz w:val="18"/>
          <w:szCs w:val="18"/>
        </w:rPr>
        <w:t xml:space="preserve">Fuente: Elaboración propia </w:t>
      </w:r>
    </w:p>
    <w:p w14:paraId="000000C1" w14:textId="77777777" w:rsidR="00EF2EEB" w:rsidRDefault="00E57539" w:rsidP="00D11915">
      <w:pPr>
        <w:pStyle w:val="Ttulo2"/>
        <w:rPr>
          <w:rFonts w:ascii="Arial Narrow" w:eastAsia="Arial Narrow" w:hAnsi="Arial Narrow" w:cs="Arial Narrow"/>
          <w:b/>
          <w:bCs/>
        </w:rPr>
      </w:pPr>
      <w:r>
        <w:rPr>
          <w:rFonts w:ascii="Arial Narrow" w:eastAsia="Arial Narrow" w:hAnsi="Arial Narrow" w:cs="Arial Narrow"/>
          <w:b/>
          <w:bCs/>
        </w:rPr>
        <w:t xml:space="preserve"> </w:t>
      </w:r>
    </w:p>
    <w:p w14:paraId="252FB839" w14:textId="77777777" w:rsidR="006F5659" w:rsidRPr="006F5659" w:rsidRDefault="006F5659" w:rsidP="006F5659"/>
    <w:p w14:paraId="000000C2" w14:textId="77777777" w:rsidR="00EF2EEB" w:rsidRDefault="00E57539" w:rsidP="00D11915">
      <w:pPr>
        <w:pStyle w:val="Ttulo2"/>
        <w:rPr>
          <w:rFonts w:ascii="Arial" w:hAnsi="Arial" w:cs="Arial"/>
          <w:b/>
          <w:bCs/>
          <w:color w:val="auto"/>
          <w:sz w:val="24"/>
          <w:szCs w:val="24"/>
        </w:rPr>
      </w:pPr>
      <w:bookmarkStart w:id="48" w:name="_Toc228874216"/>
      <w:r w:rsidRPr="005F3EB9">
        <w:rPr>
          <w:rFonts w:ascii="Arial" w:hAnsi="Arial" w:cs="Arial"/>
          <w:b/>
          <w:bCs/>
          <w:color w:val="auto"/>
          <w:sz w:val="24"/>
          <w:szCs w:val="24"/>
        </w:rPr>
        <w:lastRenderedPageBreak/>
        <w:t>2.1 Paso 1. Obtener y revisar la información disponible</w:t>
      </w:r>
      <w:bookmarkEnd w:id="48"/>
    </w:p>
    <w:p w14:paraId="2AFACB41" w14:textId="77777777" w:rsidR="006F5659" w:rsidRPr="006F5659" w:rsidRDefault="006F5659" w:rsidP="006F5659"/>
    <w:p w14:paraId="000000C3" w14:textId="77777777" w:rsidR="00EF2EEB" w:rsidRDefault="00E57539">
      <w:pPr>
        <w:jc w:val="both"/>
        <w:rPr>
          <w:rFonts w:ascii="Arial" w:eastAsia="Arial" w:hAnsi="Arial" w:cs="Arial"/>
        </w:rPr>
      </w:pPr>
      <w:r>
        <w:rPr>
          <w:rFonts w:ascii="Arial" w:eastAsia="Arial" w:hAnsi="Arial" w:cs="Arial"/>
        </w:rPr>
        <w:t>El proceso inicia con la recopilación de la información existente sobre los predios del municipio. La base de datos catastral es uno de los insumos principales, tanto en su componente gráfico como alfanumérico. Sin embargo, no es la única fuente: los municipios pueden complementar esta información con bases de datos propias, registros administrativos, listados históricos, inventarios previos, insumos generados en ejercicios anteriores, bases de datos registrales solicitadas a la Superintendencia de Notariado y Registro o la Oficina  de Registro de Instrumentos Públicos ORIP con jurisdicción sobre el municipio.</w:t>
      </w:r>
    </w:p>
    <w:p w14:paraId="53735F84" w14:textId="28333DEE" w:rsidR="006F5659" w:rsidRDefault="00E57539">
      <w:pPr>
        <w:jc w:val="both"/>
        <w:rPr>
          <w:rFonts w:ascii="Arial" w:eastAsia="Arial" w:hAnsi="Arial" w:cs="Arial"/>
        </w:rPr>
      </w:pPr>
      <w:r>
        <w:rPr>
          <w:rFonts w:ascii="Arial" w:eastAsia="Arial" w:hAnsi="Arial" w:cs="Arial"/>
        </w:rPr>
        <w:t>Si la información catastral del municipio ya está organizada con el modelo LADM, se pueden usar directamente los datos y campos que ese modelo trae. Si no está actualizada o no sigue ese estándar, no pasa nada: la información disponible sirve como punto de partida y puede ajustarse poco a poco para que sea compatible con la estructura del inventario que propone esta cartilla.</w:t>
      </w:r>
    </w:p>
    <w:p w14:paraId="6BE6A47A" w14:textId="77777777" w:rsidR="006F5659" w:rsidRDefault="006F5659">
      <w:pPr>
        <w:jc w:val="both"/>
        <w:rPr>
          <w:rFonts w:ascii="Arial" w:eastAsia="Arial" w:hAnsi="Arial" w:cs="Arial"/>
        </w:rPr>
      </w:pPr>
    </w:p>
    <w:p w14:paraId="748F9B7A" w14:textId="77777777" w:rsidR="006F5659" w:rsidRDefault="006F5659">
      <w:pPr>
        <w:jc w:val="both"/>
        <w:rPr>
          <w:rFonts w:ascii="Arial" w:eastAsia="Arial" w:hAnsi="Arial" w:cs="Arial"/>
        </w:rPr>
      </w:pPr>
    </w:p>
    <w:p w14:paraId="4794B5EA" w14:textId="77777777" w:rsidR="006F5659" w:rsidRDefault="006F5659">
      <w:pPr>
        <w:jc w:val="both"/>
        <w:rPr>
          <w:rFonts w:ascii="Arial" w:eastAsia="Arial" w:hAnsi="Arial" w:cs="Arial"/>
        </w:rPr>
      </w:pPr>
    </w:p>
    <w:p w14:paraId="211910FB" w14:textId="77777777" w:rsidR="006F5659" w:rsidRDefault="006F5659">
      <w:pPr>
        <w:jc w:val="both"/>
        <w:rPr>
          <w:rFonts w:ascii="Arial" w:eastAsia="Arial" w:hAnsi="Arial" w:cs="Arial"/>
        </w:rPr>
      </w:pPr>
    </w:p>
    <w:p w14:paraId="631B15EF" w14:textId="77777777" w:rsidR="006F5659" w:rsidRDefault="006F5659">
      <w:pPr>
        <w:jc w:val="both"/>
        <w:rPr>
          <w:rFonts w:ascii="Arial" w:eastAsia="Arial" w:hAnsi="Arial" w:cs="Arial"/>
        </w:rPr>
      </w:pPr>
    </w:p>
    <w:p w14:paraId="313E8EA0" w14:textId="3939E184" w:rsidR="006F5659" w:rsidRDefault="006F5659">
      <w:pPr>
        <w:jc w:val="both"/>
        <w:rPr>
          <w:rFonts w:ascii="Arial" w:eastAsia="Arial" w:hAnsi="Arial" w:cs="Arial"/>
        </w:rPr>
      </w:pPr>
    </w:p>
    <w:p w14:paraId="55E20A45" w14:textId="77777777" w:rsidR="006F5659" w:rsidRDefault="006F5659">
      <w:pPr>
        <w:jc w:val="both"/>
        <w:rPr>
          <w:rFonts w:ascii="Arial" w:eastAsia="Arial" w:hAnsi="Arial" w:cs="Arial"/>
        </w:rPr>
      </w:pPr>
    </w:p>
    <w:p w14:paraId="2D85F2B1" w14:textId="77777777" w:rsidR="006F5659" w:rsidRDefault="006F5659">
      <w:pPr>
        <w:jc w:val="both"/>
        <w:rPr>
          <w:rFonts w:ascii="Arial" w:eastAsia="Arial" w:hAnsi="Arial" w:cs="Arial"/>
        </w:rPr>
      </w:pPr>
    </w:p>
    <w:p w14:paraId="7CF44119" w14:textId="77777777" w:rsidR="006F5659" w:rsidRDefault="006F5659">
      <w:pPr>
        <w:jc w:val="both"/>
        <w:rPr>
          <w:rFonts w:ascii="Arial" w:eastAsia="Arial" w:hAnsi="Arial" w:cs="Arial"/>
        </w:rPr>
      </w:pPr>
    </w:p>
    <w:p w14:paraId="58710F1D" w14:textId="77777777" w:rsidR="006F5659" w:rsidRDefault="006F5659">
      <w:pPr>
        <w:jc w:val="both"/>
        <w:rPr>
          <w:rFonts w:ascii="Arial" w:eastAsia="Arial" w:hAnsi="Arial" w:cs="Arial"/>
        </w:rPr>
      </w:pPr>
    </w:p>
    <w:p w14:paraId="1A3BE76B" w14:textId="77777777" w:rsidR="006F5659" w:rsidRDefault="006F5659">
      <w:pPr>
        <w:jc w:val="both"/>
        <w:rPr>
          <w:rFonts w:ascii="Arial" w:eastAsia="Arial" w:hAnsi="Arial" w:cs="Arial"/>
        </w:rPr>
      </w:pPr>
    </w:p>
    <w:p w14:paraId="63C975B8" w14:textId="77777777" w:rsidR="006F5659" w:rsidRDefault="006F5659">
      <w:pPr>
        <w:jc w:val="both"/>
        <w:rPr>
          <w:rFonts w:ascii="Arial" w:eastAsia="Arial" w:hAnsi="Arial" w:cs="Arial"/>
        </w:rPr>
      </w:pPr>
    </w:p>
    <w:p w14:paraId="59D37414" w14:textId="77777777" w:rsidR="006F5659" w:rsidRDefault="00E57539">
      <w:pPr>
        <w:spacing w:before="240" w:after="40" w:line="240" w:lineRule="auto"/>
        <w:jc w:val="center"/>
        <w:rPr>
          <w:rFonts w:ascii="Arial" w:eastAsia="Arial" w:hAnsi="Arial" w:cs="Arial"/>
          <w:b/>
          <w:bCs/>
        </w:rPr>
      </w:pPr>
      <w:r>
        <w:rPr>
          <w:rFonts w:ascii="Arial" w:eastAsia="Arial" w:hAnsi="Arial" w:cs="Arial"/>
          <w:b/>
          <w:bCs/>
        </w:rPr>
        <w:lastRenderedPageBreak/>
        <w:t>Tabla N° 3. Atributos de la Base de Datos Catastral en el modelo LADM para la identificación del inventario</w:t>
      </w:r>
    </w:p>
    <w:p w14:paraId="000000C5" w14:textId="42B5F70D" w:rsidR="00EF2EEB" w:rsidRDefault="00E57539">
      <w:pPr>
        <w:spacing w:before="240" w:after="40" w:line="240" w:lineRule="auto"/>
        <w:jc w:val="center"/>
        <w:rPr>
          <w:rFonts w:ascii="Arial" w:eastAsia="Arial" w:hAnsi="Arial" w:cs="Arial"/>
          <w:b/>
          <w:bCs/>
        </w:rPr>
      </w:pPr>
      <w:r>
        <w:rPr>
          <w:rFonts w:ascii="Arial" w:eastAsia="Arial" w:hAnsi="Arial" w:cs="Arial"/>
          <w:b/>
          <w:bCs/>
        </w:rPr>
        <w:t xml:space="preserve"> </w:t>
      </w:r>
    </w:p>
    <w:tbl>
      <w:tblPr>
        <w:tblStyle w:val="a1"/>
        <w:tblW w:w="8838"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836"/>
        <w:gridCol w:w="2862"/>
        <w:gridCol w:w="4140"/>
      </w:tblGrid>
      <w:tr w:rsidR="00EF2EEB" w14:paraId="1E510FF5" w14:textId="77777777" w:rsidTr="006F5659">
        <w:trPr>
          <w:trHeight w:val="419"/>
          <w:tblHeader/>
          <w:jc w:val="center"/>
        </w:trPr>
        <w:tc>
          <w:tcPr>
            <w:tcW w:w="1836" w:type="dxa"/>
            <w:tcBorders>
              <w:top w:val="single" w:sz="5" w:space="0" w:color="000000"/>
              <w:left w:val="single" w:sz="5" w:space="0" w:color="000000"/>
              <w:bottom w:val="single" w:sz="5" w:space="0" w:color="000000"/>
              <w:right w:val="single" w:sz="5" w:space="0" w:color="000000"/>
            </w:tcBorders>
            <w:shd w:val="clear" w:color="auto" w:fill="C6D9F1"/>
            <w:tcMar>
              <w:top w:w="100" w:type="dxa"/>
              <w:left w:w="100" w:type="dxa"/>
              <w:bottom w:w="100" w:type="dxa"/>
              <w:right w:w="100" w:type="dxa"/>
            </w:tcMar>
          </w:tcPr>
          <w:p w14:paraId="000000C6" w14:textId="77777777" w:rsidR="00EF2EEB" w:rsidRDefault="00E57539">
            <w:pPr>
              <w:spacing w:before="240" w:after="240" w:line="276" w:lineRule="auto"/>
              <w:jc w:val="center"/>
              <w:rPr>
                <w:rFonts w:ascii="Arial" w:eastAsia="Arial" w:hAnsi="Arial" w:cs="Arial"/>
                <w:b/>
                <w:bCs/>
                <w:sz w:val="20"/>
                <w:szCs w:val="20"/>
              </w:rPr>
            </w:pPr>
            <w:r>
              <w:rPr>
                <w:rFonts w:ascii="Arial" w:eastAsia="Arial" w:hAnsi="Arial" w:cs="Arial"/>
                <w:b/>
                <w:bCs/>
                <w:sz w:val="20"/>
                <w:szCs w:val="20"/>
              </w:rPr>
              <w:t>Tabla</w:t>
            </w:r>
          </w:p>
        </w:tc>
        <w:tc>
          <w:tcPr>
            <w:tcW w:w="2862" w:type="dxa"/>
            <w:tcBorders>
              <w:top w:val="single" w:sz="5" w:space="0" w:color="000000"/>
              <w:left w:val="nil"/>
              <w:bottom w:val="single" w:sz="5" w:space="0" w:color="000000"/>
              <w:right w:val="single" w:sz="5" w:space="0" w:color="000000"/>
            </w:tcBorders>
            <w:shd w:val="clear" w:color="auto" w:fill="C6D9F1"/>
            <w:tcMar>
              <w:top w:w="100" w:type="dxa"/>
              <w:left w:w="100" w:type="dxa"/>
              <w:bottom w:w="100" w:type="dxa"/>
              <w:right w:w="100" w:type="dxa"/>
            </w:tcMar>
          </w:tcPr>
          <w:p w14:paraId="000000C7" w14:textId="77777777" w:rsidR="00EF2EEB" w:rsidRDefault="00E57539">
            <w:pPr>
              <w:spacing w:before="240" w:after="240" w:line="276" w:lineRule="auto"/>
              <w:jc w:val="center"/>
              <w:rPr>
                <w:rFonts w:ascii="Arial" w:eastAsia="Arial" w:hAnsi="Arial" w:cs="Arial"/>
                <w:b/>
                <w:bCs/>
                <w:sz w:val="20"/>
                <w:szCs w:val="20"/>
              </w:rPr>
            </w:pPr>
            <w:r>
              <w:rPr>
                <w:rFonts w:ascii="Arial" w:eastAsia="Arial" w:hAnsi="Arial" w:cs="Arial"/>
                <w:b/>
                <w:bCs/>
                <w:sz w:val="20"/>
                <w:szCs w:val="20"/>
              </w:rPr>
              <w:t>Atributo</w:t>
            </w:r>
          </w:p>
        </w:tc>
        <w:tc>
          <w:tcPr>
            <w:tcW w:w="4140" w:type="dxa"/>
            <w:tcBorders>
              <w:top w:val="single" w:sz="5" w:space="0" w:color="000000"/>
              <w:left w:val="nil"/>
              <w:bottom w:val="single" w:sz="5" w:space="0" w:color="000000"/>
              <w:right w:val="single" w:sz="5" w:space="0" w:color="000000"/>
            </w:tcBorders>
            <w:shd w:val="clear" w:color="auto" w:fill="C6D9F1"/>
            <w:tcMar>
              <w:top w:w="100" w:type="dxa"/>
              <w:left w:w="100" w:type="dxa"/>
              <w:bottom w:w="100" w:type="dxa"/>
              <w:right w:w="100" w:type="dxa"/>
            </w:tcMar>
          </w:tcPr>
          <w:p w14:paraId="000000C8" w14:textId="77777777" w:rsidR="00EF2EEB" w:rsidRDefault="00E57539">
            <w:pPr>
              <w:spacing w:before="240" w:after="240" w:line="276" w:lineRule="auto"/>
              <w:jc w:val="center"/>
              <w:rPr>
                <w:rFonts w:ascii="Arial" w:eastAsia="Arial" w:hAnsi="Arial" w:cs="Arial"/>
                <w:b/>
                <w:bCs/>
                <w:sz w:val="20"/>
                <w:szCs w:val="20"/>
              </w:rPr>
            </w:pPr>
            <w:r>
              <w:rPr>
                <w:rFonts w:ascii="Arial" w:eastAsia="Arial" w:hAnsi="Arial" w:cs="Arial"/>
                <w:b/>
                <w:bCs/>
                <w:sz w:val="20"/>
                <w:szCs w:val="20"/>
              </w:rPr>
              <w:t>Descripción</w:t>
            </w:r>
          </w:p>
        </w:tc>
      </w:tr>
      <w:tr w:rsidR="00EF2EEB" w14:paraId="26DDDF81" w14:textId="77777777">
        <w:trPr>
          <w:trHeight w:val="1653"/>
          <w:tblHeader/>
          <w:jc w:val="center"/>
        </w:trPr>
        <w:tc>
          <w:tcPr>
            <w:tcW w:w="183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C9"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LC_Predio</w:t>
            </w:r>
          </w:p>
        </w:tc>
        <w:tc>
          <w:tcPr>
            <w:tcW w:w="2862" w:type="dxa"/>
            <w:tcBorders>
              <w:top w:val="nil"/>
              <w:left w:val="nil"/>
              <w:bottom w:val="single" w:sz="5" w:space="0" w:color="000000"/>
              <w:right w:val="single" w:sz="5" w:space="0" w:color="000000"/>
            </w:tcBorders>
            <w:tcMar>
              <w:top w:w="100" w:type="dxa"/>
              <w:left w:w="100" w:type="dxa"/>
              <w:bottom w:w="100" w:type="dxa"/>
              <w:right w:w="100" w:type="dxa"/>
            </w:tcMar>
          </w:tcPr>
          <w:p w14:paraId="000000CA"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Numero_Predial</w:t>
            </w:r>
          </w:p>
        </w:tc>
        <w:tc>
          <w:tcPr>
            <w:tcW w:w="4140" w:type="dxa"/>
            <w:tcBorders>
              <w:top w:val="nil"/>
              <w:left w:val="nil"/>
              <w:bottom w:val="single" w:sz="5" w:space="0" w:color="000000"/>
              <w:right w:val="single" w:sz="5" w:space="0" w:color="000000"/>
            </w:tcBorders>
            <w:tcMar>
              <w:top w:w="100" w:type="dxa"/>
              <w:left w:w="100" w:type="dxa"/>
              <w:bottom w:w="100" w:type="dxa"/>
              <w:right w:w="100" w:type="dxa"/>
            </w:tcMar>
          </w:tcPr>
          <w:p w14:paraId="000000CB" w14:textId="77777777" w:rsidR="00EF2EEB" w:rsidRDefault="00E57539" w:rsidP="006F5659">
            <w:pPr>
              <w:spacing w:after="0" w:line="276" w:lineRule="auto"/>
              <w:jc w:val="both"/>
              <w:rPr>
                <w:rFonts w:ascii="Arial" w:eastAsia="Arial" w:hAnsi="Arial" w:cs="Arial"/>
                <w:sz w:val="20"/>
                <w:szCs w:val="20"/>
              </w:rPr>
            </w:pPr>
            <w:r>
              <w:rPr>
                <w:rFonts w:ascii="Arial" w:eastAsia="Arial" w:hAnsi="Arial" w:cs="Arial"/>
                <w:sz w:val="20"/>
                <w:szCs w:val="20"/>
              </w:rPr>
              <w:t>Corresponde al nuevo Código numérico de treinta (30) dígitos, que se le asigna a cada predio y busca localizarlo inequívocamente en los documentos catastrales, según el modelo determinado por el Instituto Geográfico Agustín Codazzi.</w:t>
            </w:r>
          </w:p>
        </w:tc>
      </w:tr>
      <w:tr w:rsidR="00EF2EEB" w14:paraId="28D425DE" w14:textId="77777777">
        <w:trPr>
          <w:trHeight w:val="360"/>
          <w:tblHeader/>
          <w:jc w:val="center"/>
        </w:trPr>
        <w:tc>
          <w:tcPr>
            <w:tcW w:w="183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CC"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LC_Interesado</w:t>
            </w:r>
          </w:p>
        </w:tc>
        <w:tc>
          <w:tcPr>
            <w:tcW w:w="2862" w:type="dxa"/>
            <w:tcBorders>
              <w:top w:val="nil"/>
              <w:left w:val="nil"/>
              <w:bottom w:val="single" w:sz="5" w:space="0" w:color="000000"/>
              <w:right w:val="single" w:sz="5" w:space="0" w:color="000000"/>
            </w:tcBorders>
            <w:tcMar>
              <w:top w:w="100" w:type="dxa"/>
              <w:left w:w="100" w:type="dxa"/>
              <w:bottom w:w="100" w:type="dxa"/>
              <w:right w:w="100" w:type="dxa"/>
            </w:tcMar>
          </w:tcPr>
          <w:p w14:paraId="000000CD"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Nombre</w:t>
            </w:r>
          </w:p>
        </w:tc>
        <w:tc>
          <w:tcPr>
            <w:tcW w:w="4140" w:type="dxa"/>
            <w:tcBorders>
              <w:top w:val="nil"/>
              <w:left w:val="nil"/>
              <w:bottom w:val="single" w:sz="5" w:space="0" w:color="000000"/>
              <w:right w:val="single" w:sz="5" w:space="0" w:color="000000"/>
            </w:tcBorders>
            <w:tcMar>
              <w:top w:w="100" w:type="dxa"/>
              <w:left w:w="100" w:type="dxa"/>
              <w:bottom w:w="100" w:type="dxa"/>
              <w:right w:w="100" w:type="dxa"/>
            </w:tcMar>
          </w:tcPr>
          <w:p w14:paraId="000000CE"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Nombre del interesado</w:t>
            </w:r>
          </w:p>
        </w:tc>
      </w:tr>
      <w:tr w:rsidR="00EF2EEB" w14:paraId="6DBD6C7E" w14:textId="77777777">
        <w:trPr>
          <w:trHeight w:val="226"/>
          <w:tblHeader/>
          <w:jc w:val="center"/>
        </w:trPr>
        <w:tc>
          <w:tcPr>
            <w:tcW w:w="183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CF"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LC_Predio</w:t>
            </w:r>
          </w:p>
        </w:tc>
        <w:tc>
          <w:tcPr>
            <w:tcW w:w="2862" w:type="dxa"/>
            <w:tcBorders>
              <w:top w:val="nil"/>
              <w:left w:val="nil"/>
              <w:bottom w:val="single" w:sz="5" w:space="0" w:color="000000"/>
              <w:right w:val="single" w:sz="5" w:space="0" w:color="000000"/>
            </w:tcBorders>
            <w:tcMar>
              <w:top w:w="100" w:type="dxa"/>
              <w:left w:w="100" w:type="dxa"/>
              <w:bottom w:w="100" w:type="dxa"/>
              <w:right w:w="100" w:type="dxa"/>
            </w:tcMar>
          </w:tcPr>
          <w:p w14:paraId="000000D0"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Dirección</w:t>
            </w:r>
          </w:p>
        </w:tc>
        <w:tc>
          <w:tcPr>
            <w:tcW w:w="4140" w:type="dxa"/>
            <w:tcBorders>
              <w:top w:val="nil"/>
              <w:left w:val="nil"/>
              <w:bottom w:val="single" w:sz="5" w:space="0" w:color="000000"/>
              <w:right w:val="single" w:sz="5" w:space="0" w:color="000000"/>
            </w:tcBorders>
            <w:tcMar>
              <w:top w:w="100" w:type="dxa"/>
              <w:left w:w="100" w:type="dxa"/>
              <w:bottom w:w="100" w:type="dxa"/>
              <w:right w:w="100" w:type="dxa"/>
            </w:tcMar>
          </w:tcPr>
          <w:p w14:paraId="000000D1"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Corresponde a la dirección del predio.</w:t>
            </w:r>
          </w:p>
        </w:tc>
      </w:tr>
      <w:tr w:rsidR="00EF2EEB" w14:paraId="16F81C7B" w14:textId="77777777">
        <w:trPr>
          <w:trHeight w:val="819"/>
          <w:tblHeader/>
          <w:jc w:val="center"/>
        </w:trPr>
        <w:tc>
          <w:tcPr>
            <w:tcW w:w="183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D2"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LC_Predio</w:t>
            </w:r>
          </w:p>
        </w:tc>
        <w:tc>
          <w:tcPr>
            <w:tcW w:w="2862" w:type="dxa"/>
            <w:tcBorders>
              <w:top w:val="nil"/>
              <w:left w:val="nil"/>
              <w:bottom w:val="single" w:sz="5" w:space="0" w:color="000000"/>
              <w:right w:val="single" w:sz="5" w:space="0" w:color="000000"/>
            </w:tcBorders>
            <w:tcMar>
              <w:top w:w="100" w:type="dxa"/>
              <w:left w:w="100" w:type="dxa"/>
              <w:bottom w:w="100" w:type="dxa"/>
              <w:right w:w="100" w:type="dxa"/>
            </w:tcMar>
          </w:tcPr>
          <w:p w14:paraId="000000D3"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Destinacion_Economica</w:t>
            </w:r>
          </w:p>
        </w:tc>
        <w:tc>
          <w:tcPr>
            <w:tcW w:w="4140" w:type="dxa"/>
            <w:tcBorders>
              <w:top w:val="nil"/>
              <w:left w:val="nil"/>
              <w:bottom w:val="single" w:sz="5" w:space="0" w:color="000000"/>
              <w:right w:val="single" w:sz="5" w:space="0" w:color="000000"/>
            </w:tcBorders>
            <w:tcMar>
              <w:top w:w="100" w:type="dxa"/>
              <w:left w:w="100" w:type="dxa"/>
              <w:bottom w:w="100" w:type="dxa"/>
              <w:right w:w="100" w:type="dxa"/>
            </w:tcMar>
          </w:tcPr>
          <w:p w14:paraId="000000D4" w14:textId="77777777" w:rsidR="00EF2EEB" w:rsidRDefault="00E57539" w:rsidP="006F5659">
            <w:pPr>
              <w:spacing w:after="0" w:line="276" w:lineRule="auto"/>
              <w:jc w:val="both"/>
              <w:rPr>
                <w:rFonts w:ascii="Arial" w:eastAsia="Arial" w:hAnsi="Arial" w:cs="Arial"/>
                <w:sz w:val="20"/>
                <w:szCs w:val="20"/>
              </w:rPr>
            </w:pPr>
            <w:r>
              <w:rPr>
                <w:rFonts w:ascii="Arial" w:eastAsia="Arial" w:hAnsi="Arial" w:cs="Arial"/>
                <w:sz w:val="20"/>
                <w:szCs w:val="20"/>
              </w:rPr>
              <w:t>Es la clasificación para fines estadísticos y económicos que se da a cada inmueble en su conjunto–terreno, construcciones</w:t>
            </w:r>
          </w:p>
        </w:tc>
      </w:tr>
      <w:tr w:rsidR="00EF2EEB" w14:paraId="47695427" w14:textId="77777777">
        <w:trPr>
          <w:trHeight w:val="527"/>
          <w:tblHeader/>
          <w:jc w:val="center"/>
        </w:trPr>
        <w:tc>
          <w:tcPr>
            <w:tcW w:w="183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D5"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LC_Predio</w:t>
            </w:r>
          </w:p>
        </w:tc>
        <w:tc>
          <w:tcPr>
            <w:tcW w:w="2862" w:type="dxa"/>
            <w:tcBorders>
              <w:top w:val="nil"/>
              <w:left w:val="nil"/>
              <w:bottom w:val="single" w:sz="5" w:space="0" w:color="000000"/>
              <w:right w:val="single" w:sz="5" w:space="0" w:color="000000"/>
            </w:tcBorders>
            <w:tcMar>
              <w:top w:w="100" w:type="dxa"/>
              <w:left w:w="100" w:type="dxa"/>
              <w:bottom w:w="100" w:type="dxa"/>
              <w:right w:w="100" w:type="dxa"/>
            </w:tcMar>
          </w:tcPr>
          <w:p w14:paraId="000000D6"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Código_ORIP + Matrícula Inmobiliaria</w:t>
            </w:r>
          </w:p>
        </w:tc>
        <w:tc>
          <w:tcPr>
            <w:tcW w:w="4140" w:type="dxa"/>
            <w:tcBorders>
              <w:top w:val="nil"/>
              <w:left w:val="nil"/>
              <w:bottom w:val="single" w:sz="5" w:space="0" w:color="000000"/>
              <w:right w:val="single" w:sz="5" w:space="0" w:color="000000"/>
            </w:tcBorders>
            <w:tcMar>
              <w:top w:w="100" w:type="dxa"/>
              <w:left w:w="100" w:type="dxa"/>
              <w:bottom w:w="100" w:type="dxa"/>
              <w:right w:w="100" w:type="dxa"/>
            </w:tcMar>
          </w:tcPr>
          <w:p w14:paraId="000000D7"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Corresponde al número del círculo registral y matrícula inmobiliaria</w:t>
            </w:r>
          </w:p>
        </w:tc>
      </w:tr>
      <w:tr w:rsidR="00EF2EEB" w14:paraId="2ECE4239" w14:textId="77777777">
        <w:trPr>
          <w:trHeight w:val="661"/>
          <w:tblHeader/>
          <w:jc w:val="center"/>
        </w:trPr>
        <w:tc>
          <w:tcPr>
            <w:tcW w:w="183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D8"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LC_Predio</w:t>
            </w:r>
          </w:p>
        </w:tc>
        <w:tc>
          <w:tcPr>
            <w:tcW w:w="2862" w:type="dxa"/>
            <w:tcBorders>
              <w:top w:val="nil"/>
              <w:left w:val="nil"/>
              <w:bottom w:val="single" w:sz="5" w:space="0" w:color="000000"/>
              <w:right w:val="single" w:sz="5" w:space="0" w:color="000000"/>
            </w:tcBorders>
            <w:tcMar>
              <w:top w:w="100" w:type="dxa"/>
              <w:left w:w="100" w:type="dxa"/>
              <w:bottom w:w="100" w:type="dxa"/>
              <w:right w:w="100" w:type="dxa"/>
            </w:tcMar>
          </w:tcPr>
          <w:p w14:paraId="000000D9"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Tipo</w:t>
            </w:r>
          </w:p>
        </w:tc>
        <w:tc>
          <w:tcPr>
            <w:tcW w:w="4140" w:type="dxa"/>
            <w:tcBorders>
              <w:top w:val="nil"/>
              <w:left w:val="nil"/>
              <w:bottom w:val="single" w:sz="5" w:space="0" w:color="000000"/>
              <w:right w:val="single" w:sz="5" w:space="0" w:color="000000"/>
            </w:tcBorders>
            <w:tcMar>
              <w:top w:w="100" w:type="dxa"/>
              <w:left w:w="100" w:type="dxa"/>
              <w:bottom w:w="100" w:type="dxa"/>
              <w:right w:w="100" w:type="dxa"/>
            </w:tcMar>
          </w:tcPr>
          <w:p w14:paraId="000000DA"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Indica el tipo de predio para efectos catastrales.</w:t>
            </w:r>
          </w:p>
        </w:tc>
      </w:tr>
    </w:tbl>
    <w:p w14:paraId="000000DB" w14:textId="77777777" w:rsidR="00EF2EEB" w:rsidRDefault="00E57539">
      <w:pPr>
        <w:spacing w:before="40" w:after="240" w:line="240" w:lineRule="auto"/>
        <w:jc w:val="center"/>
        <w:rPr>
          <w:rFonts w:ascii="Arial Narrow" w:eastAsia="Arial Narrow" w:hAnsi="Arial Narrow" w:cs="Arial Narrow"/>
          <w:sz w:val="18"/>
          <w:szCs w:val="18"/>
        </w:rPr>
      </w:pPr>
      <w:r>
        <w:rPr>
          <w:rFonts w:ascii="Arial Narrow" w:eastAsia="Arial Narrow" w:hAnsi="Arial Narrow" w:cs="Arial Narrow"/>
          <w:sz w:val="18"/>
          <w:szCs w:val="18"/>
        </w:rPr>
        <w:t>Fuente: Elaboración propia tomada del Diccionario de Datos Modelo de Aplicación de Levantamiento Catastral V.2.0</w:t>
      </w:r>
    </w:p>
    <w:p w14:paraId="000000DC" w14:textId="77777777" w:rsidR="00EF2EEB" w:rsidRDefault="00E57539">
      <w:pPr>
        <w:spacing w:before="240" w:after="240" w:line="240" w:lineRule="auto"/>
        <w:rPr>
          <w:rFonts w:ascii="Arial" w:eastAsia="Arial" w:hAnsi="Arial" w:cs="Arial"/>
        </w:rPr>
      </w:pPr>
      <w:r>
        <w:rPr>
          <w:rFonts w:ascii="Arial" w:eastAsia="Arial" w:hAnsi="Arial" w:cs="Arial"/>
          <w:noProof/>
        </w:rPr>
        <w:drawing>
          <wp:inline distT="114300" distB="114300" distL="114300" distR="114300" wp14:anchorId="2F96117F" wp14:editId="2B29F534">
            <wp:extent cx="333375" cy="320482"/>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333375" cy="320482"/>
                    </a:xfrm>
                    <a:prstGeom prst="rect">
                      <a:avLst/>
                    </a:prstGeom>
                    <a:ln/>
                  </pic:spPr>
                </pic:pic>
              </a:graphicData>
            </a:graphic>
          </wp:inline>
        </w:drawing>
      </w:r>
      <w:r>
        <w:rPr>
          <w:rFonts w:ascii="Arial" w:eastAsia="Arial" w:hAnsi="Arial" w:cs="Arial"/>
        </w:rPr>
        <w:t xml:space="preserve"> En el caso de que la información de la base catastral no se encuentre aún en el nuevo estándar, se debe utilizar los siguientes atributos:</w:t>
      </w:r>
    </w:p>
    <w:p w14:paraId="05311647" w14:textId="77777777" w:rsidR="006F5659" w:rsidRDefault="006F5659">
      <w:pPr>
        <w:spacing w:before="240" w:after="240" w:line="240" w:lineRule="auto"/>
        <w:rPr>
          <w:rFonts w:ascii="Arial" w:eastAsia="Arial" w:hAnsi="Arial" w:cs="Arial"/>
        </w:rPr>
      </w:pPr>
    </w:p>
    <w:p w14:paraId="2407AC75" w14:textId="77777777" w:rsidR="006F5659" w:rsidRDefault="006F5659">
      <w:pPr>
        <w:spacing w:before="240" w:after="240" w:line="240" w:lineRule="auto"/>
        <w:rPr>
          <w:rFonts w:ascii="Arial" w:eastAsia="Arial" w:hAnsi="Arial" w:cs="Arial"/>
        </w:rPr>
      </w:pPr>
    </w:p>
    <w:p w14:paraId="3B5939B1" w14:textId="77777777" w:rsidR="006F5659" w:rsidRDefault="006F5659">
      <w:pPr>
        <w:spacing w:before="240" w:after="240" w:line="240" w:lineRule="auto"/>
        <w:rPr>
          <w:rFonts w:ascii="Arial" w:eastAsia="Arial" w:hAnsi="Arial" w:cs="Arial"/>
        </w:rPr>
      </w:pPr>
    </w:p>
    <w:p w14:paraId="000000DD" w14:textId="77777777" w:rsidR="00EF2EEB" w:rsidRDefault="00E57539">
      <w:pPr>
        <w:spacing w:before="240" w:after="40"/>
        <w:jc w:val="center"/>
        <w:rPr>
          <w:rFonts w:ascii="Arial" w:eastAsia="Arial" w:hAnsi="Arial" w:cs="Arial"/>
          <w:b/>
          <w:bCs/>
        </w:rPr>
      </w:pPr>
      <w:r>
        <w:rPr>
          <w:rFonts w:ascii="Arial" w:eastAsia="Arial" w:hAnsi="Arial" w:cs="Arial"/>
          <w:b/>
          <w:bCs/>
        </w:rPr>
        <w:lastRenderedPageBreak/>
        <w:t>Tabla N°4. Atributos de la base de datos catastral cuando no se encuentra en el nuevo estándar</w:t>
      </w:r>
    </w:p>
    <w:p w14:paraId="7771D826" w14:textId="77777777" w:rsidR="006F5659" w:rsidRDefault="006F5659">
      <w:pPr>
        <w:spacing w:before="240" w:after="40"/>
        <w:jc w:val="center"/>
        <w:rPr>
          <w:rFonts w:ascii="Arial" w:eastAsia="Arial" w:hAnsi="Arial" w:cs="Arial"/>
          <w:b/>
          <w:bCs/>
        </w:rPr>
      </w:pPr>
    </w:p>
    <w:tbl>
      <w:tblPr>
        <w:tblStyle w:val="a2"/>
        <w:tblW w:w="709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906"/>
        <w:gridCol w:w="4184"/>
      </w:tblGrid>
      <w:tr w:rsidR="00EF2EEB" w14:paraId="39CF4752" w14:textId="77777777" w:rsidTr="00C42F75">
        <w:trPr>
          <w:trHeight w:val="431"/>
          <w:jc w:val="center"/>
        </w:trPr>
        <w:tc>
          <w:tcPr>
            <w:tcW w:w="2906" w:type="dxa"/>
            <w:shd w:val="clear" w:color="auto" w:fill="C6D9F1"/>
            <w:tcMar>
              <w:top w:w="100" w:type="dxa"/>
              <w:left w:w="100" w:type="dxa"/>
              <w:bottom w:w="100" w:type="dxa"/>
              <w:right w:w="100" w:type="dxa"/>
            </w:tcMar>
          </w:tcPr>
          <w:p w14:paraId="000000DE" w14:textId="77777777" w:rsidR="00EF2EEB" w:rsidRDefault="00E57539">
            <w:pPr>
              <w:jc w:val="center"/>
              <w:rPr>
                <w:rFonts w:ascii="Arial" w:eastAsia="Arial" w:hAnsi="Arial" w:cs="Arial"/>
                <w:b/>
                <w:bCs/>
                <w:sz w:val="20"/>
                <w:szCs w:val="20"/>
              </w:rPr>
            </w:pPr>
            <w:r>
              <w:rPr>
                <w:rFonts w:ascii="Arial" w:eastAsia="Arial" w:hAnsi="Arial" w:cs="Arial"/>
                <w:b/>
                <w:bCs/>
                <w:sz w:val="20"/>
                <w:szCs w:val="20"/>
              </w:rPr>
              <w:t>Atributo</w:t>
            </w:r>
          </w:p>
        </w:tc>
        <w:tc>
          <w:tcPr>
            <w:tcW w:w="4184" w:type="dxa"/>
            <w:shd w:val="clear" w:color="auto" w:fill="C6D9F1"/>
            <w:tcMar>
              <w:top w:w="100" w:type="dxa"/>
              <w:left w:w="100" w:type="dxa"/>
              <w:bottom w:w="100" w:type="dxa"/>
              <w:right w:w="100" w:type="dxa"/>
            </w:tcMar>
          </w:tcPr>
          <w:p w14:paraId="000000DF" w14:textId="77777777" w:rsidR="00EF2EEB" w:rsidRDefault="00E57539">
            <w:pPr>
              <w:jc w:val="center"/>
              <w:rPr>
                <w:rFonts w:ascii="Arial" w:eastAsia="Arial" w:hAnsi="Arial" w:cs="Arial"/>
                <w:b/>
                <w:bCs/>
                <w:sz w:val="20"/>
                <w:szCs w:val="20"/>
              </w:rPr>
            </w:pPr>
            <w:r>
              <w:rPr>
                <w:rFonts w:ascii="Arial" w:eastAsia="Arial" w:hAnsi="Arial" w:cs="Arial"/>
                <w:b/>
                <w:bCs/>
                <w:sz w:val="20"/>
                <w:szCs w:val="20"/>
              </w:rPr>
              <w:t>Descripción</w:t>
            </w:r>
          </w:p>
        </w:tc>
      </w:tr>
      <w:tr w:rsidR="00EF2EEB" w14:paraId="5FEFDA9F" w14:textId="77777777" w:rsidTr="00C42F75">
        <w:trPr>
          <w:trHeight w:val="1777"/>
          <w:jc w:val="center"/>
        </w:trPr>
        <w:tc>
          <w:tcPr>
            <w:tcW w:w="2906" w:type="dxa"/>
            <w:tcMar>
              <w:top w:w="100" w:type="dxa"/>
              <w:left w:w="100" w:type="dxa"/>
              <w:bottom w:w="100" w:type="dxa"/>
              <w:right w:w="100" w:type="dxa"/>
            </w:tcMar>
          </w:tcPr>
          <w:p w14:paraId="000000E0" w14:textId="77777777" w:rsidR="00EF2EEB" w:rsidRDefault="00E57539" w:rsidP="00C42F75">
            <w:pPr>
              <w:spacing w:after="0" w:line="276" w:lineRule="auto"/>
              <w:jc w:val="both"/>
              <w:rPr>
                <w:rFonts w:ascii="Arial" w:eastAsia="Arial" w:hAnsi="Arial" w:cs="Arial"/>
                <w:sz w:val="20"/>
                <w:szCs w:val="20"/>
              </w:rPr>
            </w:pPr>
            <w:r>
              <w:rPr>
                <w:rFonts w:ascii="Arial" w:eastAsia="Arial" w:hAnsi="Arial" w:cs="Arial"/>
                <w:sz w:val="20"/>
                <w:szCs w:val="20"/>
              </w:rPr>
              <w:t>NUMERO_PREDIAL</w:t>
            </w:r>
          </w:p>
        </w:tc>
        <w:tc>
          <w:tcPr>
            <w:tcW w:w="4184" w:type="dxa"/>
            <w:tcMar>
              <w:top w:w="100" w:type="dxa"/>
              <w:left w:w="100" w:type="dxa"/>
              <w:bottom w:w="100" w:type="dxa"/>
              <w:right w:w="100" w:type="dxa"/>
            </w:tcMar>
          </w:tcPr>
          <w:p w14:paraId="000000E1" w14:textId="77777777" w:rsidR="00EF2EEB" w:rsidRDefault="00E57539" w:rsidP="00C42F75">
            <w:pPr>
              <w:spacing w:after="0" w:line="276" w:lineRule="auto"/>
              <w:jc w:val="both"/>
              <w:rPr>
                <w:rFonts w:ascii="Arial" w:eastAsia="Arial" w:hAnsi="Arial" w:cs="Arial"/>
                <w:sz w:val="20"/>
                <w:szCs w:val="20"/>
              </w:rPr>
            </w:pPr>
            <w:r>
              <w:rPr>
                <w:rFonts w:ascii="Arial" w:eastAsia="Arial" w:hAnsi="Arial" w:cs="Arial"/>
                <w:sz w:val="20"/>
                <w:szCs w:val="20"/>
              </w:rPr>
              <w:t>Corresponde al nuevo Código numérico de treinta (30) dígitos, que se le asigna a cada predio y busca localizar inequívocamente en los documentos catastrales, según el</w:t>
            </w:r>
          </w:p>
          <w:p w14:paraId="000000E2" w14:textId="77777777" w:rsidR="00EF2EEB" w:rsidRDefault="00E57539" w:rsidP="00C42F75">
            <w:pPr>
              <w:spacing w:after="0" w:line="276" w:lineRule="auto"/>
              <w:jc w:val="both"/>
              <w:rPr>
                <w:rFonts w:ascii="Arial" w:eastAsia="Arial" w:hAnsi="Arial" w:cs="Arial"/>
                <w:sz w:val="20"/>
                <w:szCs w:val="20"/>
              </w:rPr>
            </w:pPr>
            <w:r>
              <w:rPr>
                <w:rFonts w:ascii="Arial" w:eastAsia="Arial" w:hAnsi="Arial" w:cs="Arial"/>
                <w:sz w:val="20"/>
                <w:szCs w:val="20"/>
              </w:rPr>
              <w:t>modelo determinado por el Instituto</w:t>
            </w:r>
          </w:p>
          <w:p w14:paraId="000000E3" w14:textId="77777777" w:rsidR="00EF2EEB" w:rsidRDefault="00E57539" w:rsidP="00C42F75">
            <w:pPr>
              <w:spacing w:after="0" w:line="276" w:lineRule="auto"/>
              <w:jc w:val="both"/>
              <w:rPr>
                <w:rFonts w:ascii="Arial" w:eastAsia="Arial" w:hAnsi="Arial" w:cs="Arial"/>
                <w:sz w:val="20"/>
                <w:szCs w:val="20"/>
              </w:rPr>
            </w:pPr>
            <w:r>
              <w:rPr>
                <w:rFonts w:ascii="Arial" w:eastAsia="Arial" w:hAnsi="Arial" w:cs="Arial"/>
                <w:sz w:val="20"/>
                <w:szCs w:val="20"/>
              </w:rPr>
              <w:t>Geográfico Agustín Codazzi.</w:t>
            </w:r>
          </w:p>
        </w:tc>
      </w:tr>
      <w:tr w:rsidR="00EF2EEB" w14:paraId="0FA2EAB2" w14:textId="77777777" w:rsidTr="00C42F75">
        <w:trPr>
          <w:trHeight w:val="374"/>
          <w:jc w:val="center"/>
        </w:trPr>
        <w:tc>
          <w:tcPr>
            <w:tcW w:w="2906" w:type="dxa"/>
            <w:tcMar>
              <w:top w:w="100" w:type="dxa"/>
              <w:left w:w="100" w:type="dxa"/>
              <w:bottom w:w="100" w:type="dxa"/>
              <w:right w:w="100" w:type="dxa"/>
            </w:tcMar>
          </w:tcPr>
          <w:p w14:paraId="000000E4"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NOMBRE</w:t>
            </w:r>
          </w:p>
        </w:tc>
        <w:tc>
          <w:tcPr>
            <w:tcW w:w="4184" w:type="dxa"/>
            <w:tcMar>
              <w:top w:w="100" w:type="dxa"/>
              <w:left w:w="100" w:type="dxa"/>
              <w:bottom w:w="100" w:type="dxa"/>
              <w:right w:w="100" w:type="dxa"/>
            </w:tcMar>
          </w:tcPr>
          <w:p w14:paraId="000000E5"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Nombre del interesado</w:t>
            </w:r>
          </w:p>
        </w:tc>
      </w:tr>
      <w:tr w:rsidR="00EF2EEB" w14:paraId="78125579" w14:textId="77777777" w:rsidTr="00C42F75">
        <w:trPr>
          <w:trHeight w:val="495"/>
          <w:jc w:val="center"/>
        </w:trPr>
        <w:tc>
          <w:tcPr>
            <w:tcW w:w="2906" w:type="dxa"/>
            <w:tcMar>
              <w:top w:w="100" w:type="dxa"/>
              <w:left w:w="100" w:type="dxa"/>
              <w:bottom w:w="100" w:type="dxa"/>
              <w:right w:w="100" w:type="dxa"/>
            </w:tcMar>
          </w:tcPr>
          <w:p w14:paraId="000000E6" w14:textId="30C2B13C" w:rsidR="00EF2EEB" w:rsidRDefault="00E57539">
            <w:pPr>
              <w:spacing w:after="0" w:line="276" w:lineRule="auto"/>
              <w:rPr>
                <w:rFonts w:ascii="Arial" w:eastAsia="Arial" w:hAnsi="Arial" w:cs="Arial"/>
                <w:sz w:val="20"/>
                <w:szCs w:val="20"/>
              </w:rPr>
            </w:pPr>
            <w:r>
              <w:rPr>
                <w:rFonts w:ascii="Arial" w:eastAsia="Arial" w:hAnsi="Arial" w:cs="Arial"/>
                <w:sz w:val="20"/>
                <w:szCs w:val="20"/>
              </w:rPr>
              <w:t>DIRECCI</w:t>
            </w:r>
            <w:r w:rsidR="00440FB2">
              <w:rPr>
                <w:rFonts w:ascii="Arial" w:eastAsia="Arial" w:hAnsi="Arial" w:cs="Arial"/>
                <w:sz w:val="20"/>
                <w:szCs w:val="20"/>
              </w:rPr>
              <w:t>O</w:t>
            </w:r>
            <w:r>
              <w:rPr>
                <w:rFonts w:ascii="Arial" w:eastAsia="Arial" w:hAnsi="Arial" w:cs="Arial"/>
                <w:sz w:val="20"/>
                <w:szCs w:val="20"/>
              </w:rPr>
              <w:t>N</w:t>
            </w:r>
          </w:p>
        </w:tc>
        <w:tc>
          <w:tcPr>
            <w:tcW w:w="4184" w:type="dxa"/>
            <w:tcMar>
              <w:top w:w="100" w:type="dxa"/>
              <w:left w:w="100" w:type="dxa"/>
              <w:bottom w:w="100" w:type="dxa"/>
              <w:right w:w="100" w:type="dxa"/>
            </w:tcMar>
          </w:tcPr>
          <w:p w14:paraId="000000E7"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Corresponde a la dirección del predio.</w:t>
            </w:r>
          </w:p>
        </w:tc>
      </w:tr>
      <w:tr w:rsidR="00EF2EEB" w14:paraId="7266069A" w14:textId="77777777" w:rsidTr="00C42F75">
        <w:trPr>
          <w:trHeight w:val="945"/>
          <w:jc w:val="center"/>
        </w:trPr>
        <w:tc>
          <w:tcPr>
            <w:tcW w:w="2906" w:type="dxa"/>
            <w:tcMar>
              <w:top w:w="100" w:type="dxa"/>
              <w:left w:w="100" w:type="dxa"/>
              <w:bottom w:w="100" w:type="dxa"/>
              <w:right w:w="100" w:type="dxa"/>
            </w:tcMar>
          </w:tcPr>
          <w:p w14:paraId="000000E8" w14:textId="77777777" w:rsidR="00EF2EEB" w:rsidRDefault="00E57539">
            <w:pPr>
              <w:spacing w:after="0" w:line="276" w:lineRule="auto"/>
              <w:rPr>
                <w:rFonts w:ascii="Arial" w:eastAsia="Arial" w:hAnsi="Arial" w:cs="Arial"/>
                <w:sz w:val="20"/>
                <w:szCs w:val="20"/>
              </w:rPr>
            </w:pPr>
            <w:r>
              <w:rPr>
                <w:rFonts w:ascii="Arial" w:eastAsia="Arial" w:hAnsi="Arial" w:cs="Arial"/>
                <w:sz w:val="20"/>
                <w:szCs w:val="20"/>
              </w:rPr>
              <w:t>DESTINO_ECONOMICO</w:t>
            </w:r>
          </w:p>
        </w:tc>
        <w:tc>
          <w:tcPr>
            <w:tcW w:w="4184" w:type="dxa"/>
            <w:tcMar>
              <w:top w:w="100" w:type="dxa"/>
              <w:left w:w="100" w:type="dxa"/>
              <w:bottom w:w="100" w:type="dxa"/>
              <w:right w:w="100" w:type="dxa"/>
            </w:tcMar>
          </w:tcPr>
          <w:p w14:paraId="000000E9" w14:textId="77777777" w:rsidR="00EF2EEB" w:rsidRDefault="00E57539" w:rsidP="00C42F75">
            <w:pPr>
              <w:spacing w:after="0" w:line="276" w:lineRule="auto"/>
              <w:jc w:val="both"/>
              <w:rPr>
                <w:rFonts w:ascii="Arial" w:eastAsia="Arial" w:hAnsi="Arial" w:cs="Arial"/>
                <w:sz w:val="20"/>
                <w:szCs w:val="20"/>
              </w:rPr>
            </w:pPr>
            <w:r>
              <w:rPr>
                <w:rFonts w:ascii="Arial" w:eastAsia="Arial" w:hAnsi="Arial" w:cs="Arial"/>
                <w:sz w:val="20"/>
                <w:szCs w:val="20"/>
              </w:rPr>
              <w:t>Es la clasificación para fines estadísticos y económicos que se da a cada inmueble en su conjunto–terreno, construcciones.</w:t>
            </w:r>
          </w:p>
        </w:tc>
      </w:tr>
      <w:tr w:rsidR="00EF2EEB" w14:paraId="4F1847B1" w14:textId="77777777" w:rsidTr="00C42F75">
        <w:trPr>
          <w:trHeight w:val="649"/>
          <w:jc w:val="center"/>
        </w:trPr>
        <w:tc>
          <w:tcPr>
            <w:tcW w:w="2906" w:type="dxa"/>
            <w:tcMar>
              <w:top w:w="100" w:type="dxa"/>
              <w:left w:w="100" w:type="dxa"/>
              <w:bottom w:w="100" w:type="dxa"/>
              <w:right w:w="100" w:type="dxa"/>
            </w:tcMar>
          </w:tcPr>
          <w:p w14:paraId="000000EA" w14:textId="4420D78B" w:rsidR="00EF2EEB" w:rsidRDefault="00E57539" w:rsidP="00C42F75">
            <w:pPr>
              <w:spacing w:after="0" w:line="276" w:lineRule="auto"/>
              <w:jc w:val="both"/>
              <w:rPr>
                <w:rFonts w:ascii="Arial" w:eastAsia="Arial" w:hAnsi="Arial" w:cs="Arial"/>
                <w:sz w:val="20"/>
                <w:szCs w:val="20"/>
              </w:rPr>
            </w:pPr>
            <w:r>
              <w:rPr>
                <w:rFonts w:ascii="Arial" w:eastAsia="Arial" w:hAnsi="Arial" w:cs="Arial"/>
                <w:sz w:val="20"/>
                <w:szCs w:val="20"/>
              </w:rPr>
              <w:t>MATR</w:t>
            </w:r>
            <w:r w:rsidR="00440FB2">
              <w:rPr>
                <w:rFonts w:ascii="Arial" w:eastAsia="Arial" w:hAnsi="Arial" w:cs="Arial"/>
                <w:sz w:val="20"/>
                <w:szCs w:val="20"/>
              </w:rPr>
              <w:t>I</w:t>
            </w:r>
            <w:r>
              <w:rPr>
                <w:rFonts w:ascii="Arial" w:eastAsia="Arial" w:hAnsi="Arial" w:cs="Arial"/>
                <w:sz w:val="20"/>
                <w:szCs w:val="20"/>
              </w:rPr>
              <w:t>CULA</w:t>
            </w:r>
          </w:p>
        </w:tc>
        <w:tc>
          <w:tcPr>
            <w:tcW w:w="4184" w:type="dxa"/>
            <w:tcMar>
              <w:top w:w="100" w:type="dxa"/>
              <w:left w:w="100" w:type="dxa"/>
              <w:bottom w:w="100" w:type="dxa"/>
              <w:right w:w="100" w:type="dxa"/>
            </w:tcMar>
          </w:tcPr>
          <w:p w14:paraId="000000EB" w14:textId="77777777" w:rsidR="00EF2EEB" w:rsidRDefault="00E57539" w:rsidP="00C42F75">
            <w:pPr>
              <w:spacing w:after="0" w:line="276" w:lineRule="auto"/>
              <w:jc w:val="both"/>
              <w:rPr>
                <w:rFonts w:ascii="Arial" w:eastAsia="Arial" w:hAnsi="Arial" w:cs="Arial"/>
                <w:sz w:val="20"/>
                <w:szCs w:val="20"/>
              </w:rPr>
            </w:pPr>
            <w:r>
              <w:rPr>
                <w:rFonts w:ascii="Arial" w:eastAsia="Arial" w:hAnsi="Arial" w:cs="Arial"/>
                <w:sz w:val="20"/>
                <w:szCs w:val="20"/>
              </w:rPr>
              <w:t>Corresponde al número del círculo registral y matrícula inmobiliaria</w:t>
            </w:r>
          </w:p>
        </w:tc>
      </w:tr>
    </w:tbl>
    <w:p w14:paraId="000000EC" w14:textId="77777777" w:rsidR="00EF2EEB" w:rsidRDefault="00E57539">
      <w:pPr>
        <w:spacing w:before="40" w:after="240" w:line="240" w:lineRule="auto"/>
        <w:jc w:val="center"/>
        <w:rPr>
          <w:rFonts w:ascii="Arial Narrow" w:eastAsia="Arial Narrow" w:hAnsi="Arial Narrow" w:cs="Arial Narrow"/>
          <w:sz w:val="18"/>
          <w:szCs w:val="18"/>
        </w:rPr>
      </w:pPr>
      <w:r>
        <w:rPr>
          <w:rFonts w:ascii="Arial Narrow" w:eastAsia="Arial Narrow" w:hAnsi="Arial Narrow" w:cs="Arial Narrow"/>
          <w:sz w:val="18"/>
          <w:szCs w:val="18"/>
        </w:rPr>
        <w:t>Fuente: Elaboración propia</w:t>
      </w:r>
    </w:p>
    <w:p w14:paraId="325965DE" w14:textId="77777777" w:rsidR="002E7A67" w:rsidRDefault="002E7A67">
      <w:pPr>
        <w:spacing w:before="40" w:after="240" w:line="240" w:lineRule="auto"/>
        <w:jc w:val="center"/>
        <w:rPr>
          <w:rFonts w:ascii="Arial Narrow" w:eastAsia="Arial Narrow" w:hAnsi="Arial Narrow" w:cs="Arial Narrow"/>
          <w:sz w:val="18"/>
          <w:szCs w:val="18"/>
        </w:rPr>
      </w:pPr>
    </w:p>
    <w:tbl>
      <w:tblPr>
        <w:tblStyle w:val="a3"/>
        <w:tblW w:w="868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89"/>
      </w:tblGrid>
      <w:tr w:rsidR="00EF2EEB" w14:paraId="718333FB" w14:textId="77777777" w:rsidTr="006F5659">
        <w:trPr>
          <w:trHeight w:val="1180"/>
          <w:jc w:val="center"/>
        </w:trPr>
        <w:tc>
          <w:tcPr>
            <w:tcW w:w="8689" w:type="dxa"/>
            <w:tcMar>
              <w:top w:w="100" w:type="dxa"/>
              <w:left w:w="100" w:type="dxa"/>
              <w:bottom w:w="100" w:type="dxa"/>
              <w:right w:w="100" w:type="dxa"/>
            </w:tcMar>
          </w:tcPr>
          <w:p w14:paraId="000000EE" w14:textId="442D3851" w:rsidR="00EF2EEB" w:rsidRDefault="0004200B">
            <w:pPr>
              <w:widowControl w:val="0"/>
              <w:pBdr>
                <w:top w:val="nil"/>
                <w:left w:val="nil"/>
                <w:bottom w:val="nil"/>
                <w:right w:val="nil"/>
                <w:between w:val="nil"/>
              </w:pBdr>
              <w:spacing w:after="0" w:line="276" w:lineRule="auto"/>
              <w:jc w:val="both"/>
              <w:rPr>
                <w:rFonts w:ascii="Arial" w:eastAsia="Arial" w:hAnsi="Arial" w:cs="Arial"/>
              </w:rPr>
            </w:pPr>
            <w:r>
              <w:rPr>
                <w:rFonts w:ascii="Arial" w:eastAsia="Arial" w:hAnsi="Arial" w:cs="Arial"/>
                <w:b/>
                <w:bCs/>
              </w:rPr>
              <w:t xml:space="preserve">Nota: </w:t>
            </w:r>
            <w:r>
              <w:rPr>
                <w:rFonts w:ascii="Arial" w:eastAsia="Arial" w:hAnsi="Arial" w:cs="Arial"/>
              </w:rPr>
              <w:t>Cuando el municipio cuente con un inventario municipal inmobiliario previo</w:t>
            </w:r>
            <w:r w:rsidR="002E7A67">
              <w:rPr>
                <w:rFonts w:ascii="Arial" w:eastAsia="Arial" w:hAnsi="Arial" w:cs="Arial"/>
              </w:rPr>
              <w:t>, este utilizarse como insumo complementario para actualizar contrastar y completar la información obtenida en la base catastral.</w:t>
            </w:r>
          </w:p>
        </w:tc>
      </w:tr>
    </w:tbl>
    <w:p w14:paraId="000000EF" w14:textId="77777777" w:rsidR="00EF2EEB" w:rsidRDefault="00EF2EEB">
      <w:pPr>
        <w:spacing w:before="40" w:after="240" w:line="276" w:lineRule="auto"/>
        <w:jc w:val="both"/>
        <w:rPr>
          <w:rFonts w:ascii="Arial" w:eastAsia="Arial" w:hAnsi="Arial" w:cs="Arial"/>
          <w:b/>
          <w:bCs/>
        </w:rPr>
      </w:pPr>
    </w:p>
    <w:p w14:paraId="000000F0" w14:textId="77777777" w:rsidR="00EF2EEB" w:rsidRPr="005F3EB9" w:rsidRDefault="00E57539" w:rsidP="005F3EB9">
      <w:pPr>
        <w:pStyle w:val="Ttulo2"/>
        <w:rPr>
          <w:rFonts w:ascii="Arial" w:hAnsi="Arial" w:cs="Arial"/>
          <w:b/>
          <w:bCs/>
          <w:color w:val="auto"/>
          <w:sz w:val="24"/>
          <w:szCs w:val="24"/>
        </w:rPr>
      </w:pPr>
      <w:r w:rsidRPr="005F3EB9">
        <w:rPr>
          <w:rFonts w:ascii="Arial" w:hAnsi="Arial" w:cs="Arial"/>
          <w:b/>
          <w:bCs/>
          <w:color w:val="auto"/>
          <w:sz w:val="24"/>
          <w:szCs w:val="24"/>
        </w:rPr>
        <w:lastRenderedPageBreak/>
        <w:t xml:space="preserve"> </w:t>
      </w:r>
      <w:bookmarkStart w:id="49" w:name="_Toc228874217"/>
      <w:r w:rsidRPr="005F3EB9">
        <w:rPr>
          <w:rFonts w:ascii="Arial" w:hAnsi="Arial" w:cs="Arial"/>
          <w:b/>
          <w:bCs/>
          <w:color w:val="auto"/>
          <w:sz w:val="24"/>
          <w:szCs w:val="24"/>
        </w:rPr>
        <w:t>2.2 Paso 2. Depurar y actualizar la información</w:t>
      </w:r>
      <w:bookmarkEnd w:id="49"/>
    </w:p>
    <w:p w14:paraId="000000F1" w14:textId="36934B4D" w:rsidR="00EF2EEB" w:rsidRDefault="00E57539">
      <w:pPr>
        <w:spacing w:before="240" w:after="40" w:line="276" w:lineRule="auto"/>
        <w:jc w:val="both"/>
        <w:rPr>
          <w:rFonts w:ascii="Arial" w:eastAsia="Arial" w:hAnsi="Arial" w:cs="Arial"/>
        </w:rPr>
      </w:pPr>
      <w:r>
        <w:rPr>
          <w:rFonts w:ascii="Arial" w:eastAsia="Arial" w:hAnsi="Arial" w:cs="Arial"/>
        </w:rPr>
        <w:t>Una vez recopilada la información disponible, es necesario depurarla y actualizarla para asegurar que refleje de manera confiable la situación real del territorio. El nivel de depuración dependerá del estado de la información catastral y de los insumos complementarios con los que cuente el municipio. Este proceso contribuye a mejorar la calidad de los datos que servirán de base para la clasificación de los bienes y la conformación del inventario.</w:t>
      </w:r>
    </w:p>
    <w:p w14:paraId="000000F2" w14:textId="77777777" w:rsidR="00EF2EEB" w:rsidRDefault="00E57539">
      <w:pPr>
        <w:spacing w:before="240" w:after="40" w:line="276" w:lineRule="auto"/>
        <w:jc w:val="both"/>
        <w:rPr>
          <w:rFonts w:ascii="Arial" w:eastAsia="Arial" w:hAnsi="Arial" w:cs="Arial"/>
        </w:rPr>
      </w:pPr>
      <w:r>
        <w:rPr>
          <w:rFonts w:ascii="Arial" w:eastAsia="Arial" w:hAnsi="Arial" w:cs="Arial"/>
        </w:rPr>
        <w:t>Para este paso se recomienda adelantar las siguientes acciones:</w:t>
      </w:r>
    </w:p>
    <w:p w14:paraId="000000F3" w14:textId="77777777" w:rsidR="00EF2EEB" w:rsidRDefault="00E57539">
      <w:pPr>
        <w:numPr>
          <w:ilvl w:val="0"/>
          <w:numId w:val="1"/>
        </w:numPr>
        <w:spacing w:before="240" w:after="0" w:line="276" w:lineRule="auto"/>
        <w:jc w:val="both"/>
        <w:rPr>
          <w:rFonts w:ascii="Arial" w:eastAsia="Arial" w:hAnsi="Arial" w:cs="Arial"/>
        </w:rPr>
      </w:pPr>
      <w:r>
        <w:rPr>
          <w:rFonts w:ascii="Arial" w:eastAsia="Arial" w:hAnsi="Arial" w:cs="Arial"/>
        </w:rPr>
        <w:t>Verificar con la última base de datos registral solicitada que la matrícula inmobiliaria esté completa y con la estructura correcta, y registrar las inconsistencias que se identifiquen.</w:t>
      </w:r>
    </w:p>
    <w:p w14:paraId="000000F4" w14:textId="77777777" w:rsidR="00EF2EEB" w:rsidRDefault="00E57539">
      <w:pPr>
        <w:numPr>
          <w:ilvl w:val="0"/>
          <w:numId w:val="1"/>
        </w:numPr>
        <w:spacing w:after="40" w:line="276" w:lineRule="auto"/>
        <w:jc w:val="both"/>
        <w:rPr>
          <w:rFonts w:ascii="Arial" w:eastAsia="Arial" w:hAnsi="Arial" w:cs="Arial"/>
        </w:rPr>
      </w:pPr>
      <w:r>
        <w:rPr>
          <w:rFonts w:ascii="Arial" w:eastAsia="Arial" w:hAnsi="Arial" w:cs="Arial"/>
        </w:rPr>
        <w:t>Revisar la destinación económica y ajustar los casos en los que no corresponda a la naturaleza del predio, especialmente cuando se trate de bienes de uso público.</w:t>
      </w:r>
    </w:p>
    <w:p w14:paraId="000000F5" w14:textId="77777777" w:rsidR="00EF2EEB" w:rsidRDefault="00E57539">
      <w:pPr>
        <w:spacing w:before="240" w:after="40" w:line="276" w:lineRule="auto"/>
        <w:jc w:val="both"/>
        <w:rPr>
          <w:rFonts w:ascii="Arial" w:eastAsia="Arial" w:hAnsi="Arial" w:cs="Arial"/>
        </w:rPr>
      </w:pPr>
      <w:r>
        <w:rPr>
          <w:rFonts w:ascii="Arial" w:eastAsia="Arial" w:hAnsi="Arial" w:cs="Arial"/>
        </w:rPr>
        <w:t>Ejemplo: Un predio identificado como parque puede aparecer con destinación económica A Habitacional. En estos casos, se debe corregir el valor para que corresponda a P Uso Público*, garantizando su adecuada clasificación dentro del inventario.</w:t>
      </w:r>
    </w:p>
    <w:p w14:paraId="000000F6" w14:textId="77777777" w:rsidR="00EF2EEB" w:rsidRDefault="00E57539">
      <w:pPr>
        <w:spacing w:before="240" w:after="40" w:line="240" w:lineRule="auto"/>
        <w:jc w:val="both"/>
        <w:rPr>
          <w:rFonts w:ascii="Arial" w:eastAsia="Arial" w:hAnsi="Arial" w:cs="Arial"/>
        </w:rPr>
      </w:pPr>
      <w:r>
        <w:rPr>
          <w:rFonts w:ascii="Arial Narrow" w:eastAsia="Arial Narrow" w:hAnsi="Arial Narrow" w:cs="Arial Narrow"/>
          <w:noProof/>
        </w:rPr>
        <w:drawing>
          <wp:inline distT="114300" distB="114300" distL="114300" distR="114300" wp14:anchorId="03B08AFC" wp14:editId="26D096C7">
            <wp:extent cx="5939500" cy="863600"/>
            <wp:effectExtent l="12700" t="12700" r="12700" b="1270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39500" cy="863600"/>
                    </a:xfrm>
                    <a:prstGeom prst="rect">
                      <a:avLst/>
                    </a:prstGeom>
                    <a:ln w="12700">
                      <a:solidFill>
                        <a:srgbClr val="000000"/>
                      </a:solidFill>
                      <a:prstDash val="solid"/>
                    </a:ln>
                  </pic:spPr>
                </pic:pic>
              </a:graphicData>
            </a:graphic>
          </wp:inline>
        </w:drawing>
      </w:r>
    </w:p>
    <w:p w14:paraId="000000F7" w14:textId="77777777" w:rsidR="00EF2EEB" w:rsidRDefault="00E57539">
      <w:pPr>
        <w:numPr>
          <w:ilvl w:val="0"/>
          <w:numId w:val="2"/>
        </w:numPr>
        <w:spacing w:before="240" w:after="40" w:line="276" w:lineRule="auto"/>
        <w:jc w:val="both"/>
        <w:rPr>
          <w:rFonts w:ascii="Arial" w:eastAsia="Arial" w:hAnsi="Arial" w:cs="Arial"/>
        </w:rPr>
      </w:pPr>
      <w:r>
        <w:rPr>
          <w:rFonts w:ascii="Arial" w:eastAsia="Arial" w:hAnsi="Arial" w:cs="Arial"/>
        </w:rPr>
        <w:t>Identificar áreas donde la información esté incompleta y apoyar su actualización mediante insumos locales o información secundaria disponible. Esto puede incluir mapas existentes, imágenes satelitales accesibles, registros administrativos o recorridos de reconocimiento básico que orienten al gestor catastral sobre zonas que requieren revisión o actualización.</w:t>
      </w:r>
    </w:p>
    <w:p w14:paraId="45183831" w14:textId="77777777" w:rsidR="00672A75" w:rsidRDefault="00672A75" w:rsidP="00672A75">
      <w:pPr>
        <w:spacing w:before="240" w:after="40" w:line="276" w:lineRule="auto"/>
        <w:jc w:val="both"/>
        <w:rPr>
          <w:rFonts w:ascii="Arial" w:eastAsia="Arial" w:hAnsi="Arial" w:cs="Arial"/>
        </w:rPr>
      </w:pPr>
    </w:p>
    <w:p w14:paraId="5CA3ED26" w14:textId="77777777" w:rsidR="00672A75" w:rsidRDefault="00672A75" w:rsidP="00672A75">
      <w:pPr>
        <w:spacing w:before="240" w:after="40" w:line="276" w:lineRule="auto"/>
        <w:jc w:val="both"/>
        <w:rPr>
          <w:rFonts w:ascii="Arial" w:eastAsia="Arial" w:hAnsi="Arial" w:cs="Arial"/>
        </w:rPr>
      </w:pPr>
    </w:p>
    <w:p w14:paraId="12946B99" w14:textId="77777777" w:rsidR="006F5659" w:rsidRDefault="00E57539">
      <w:pPr>
        <w:spacing w:before="240" w:after="240" w:line="276" w:lineRule="auto"/>
        <w:jc w:val="center"/>
        <w:rPr>
          <w:rFonts w:ascii="Arial" w:eastAsia="Arial" w:hAnsi="Arial" w:cs="Arial"/>
          <w:b/>
          <w:bCs/>
        </w:rPr>
      </w:pPr>
      <w:r>
        <w:rPr>
          <w:rFonts w:ascii="Arial" w:eastAsia="Arial" w:hAnsi="Arial" w:cs="Arial"/>
          <w:b/>
          <w:bCs/>
        </w:rPr>
        <w:lastRenderedPageBreak/>
        <w:t xml:space="preserve">Gráfica N° 3. Resumen acciones del </w:t>
      </w:r>
      <w:r w:rsidR="001C03B8">
        <w:rPr>
          <w:rFonts w:ascii="Arial" w:eastAsia="Arial" w:hAnsi="Arial" w:cs="Arial"/>
          <w:b/>
          <w:bCs/>
        </w:rPr>
        <w:t>p</w:t>
      </w:r>
      <w:r>
        <w:rPr>
          <w:rFonts w:ascii="Arial" w:eastAsia="Arial" w:hAnsi="Arial" w:cs="Arial"/>
          <w:b/>
          <w:bCs/>
        </w:rPr>
        <w:t xml:space="preserve">aso 2 </w:t>
      </w:r>
    </w:p>
    <w:p w14:paraId="000000F8" w14:textId="450CAEA3" w:rsidR="00EF2EEB" w:rsidRDefault="00E57539">
      <w:pPr>
        <w:spacing w:before="240" w:after="240" w:line="276" w:lineRule="auto"/>
        <w:jc w:val="center"/>
        <w:rPr>
          <w:rFonts w:ascii="Arial Narrow" w:eastAsia="Arial Narrow" w:hAnsi="Arial Narrow" w:cs="Arial Narrow"/>
        </w:rPr>
      </w:pPr>
      <w:r>
        <w:rPr>
          <w:rFonts w:ascii="Arial Narrow" w:eastAsia="Arial Narrow" w:hAnsi="Arial Narrow" w:cs="Arial Narrow"/>
          <w:noProof/>
        </w:rPr>
        <w:drawing>
          <wp:inline distT="114300" distB="114300" distL="114300" distR="114300" wp14:anchorId="2B3510BC" wp14:editId="2DCFB7DE">
            <wp:extent cx="5940425" cy="3314700"/>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5940425" cy="3314700"/>
                    </a:xfrm>
                    <a:prstGeom prst="rect">
                      <a:avLst/>
                    </a:prstGeom>
                    <a:ln/>
                  </pic:spPr>
                </pic:pic>
              </a:graphicData>
            </a:graphic>
          </wp:inline>
        </w:drawing>
      </w:r>
    </w:p>
    <w:p w14:paraId="000000F9" w14:textId="77777777" w:rsidR="00EF2EEB" w:rsidRDefault="00E57539">
      <w:pPr>
        <w:spacing w:before="240" w:after="240" w:line="240" w:lineRule="auto"/>
        <w:jc w:val="center"/>
        <w:rPr>
          <w:rFonts w:ascii="Arial Narrow" w:eastAsia="Arial Narrow" w:hAnsi="Arial Narrow" w:cs="Arial Narrow"/>
          <w:b/>
          <w:bCs/>
        </w:rPr>
      </w:pPr>
      <w:r>
        <w:rPr>
          <w:rFonts w:ascii="Arial Narrow" w:eastAsia="Arial Narrow" w:hAnsi="Arial Narrow" w:cs="Arial Narrow"/>
        </w:rPr>
        <w:t>Fuente: elaboración propia</w:t>
      </w:r>
    </w:p>
    <w:tbl>
      <w:tblPr>
        <w:tblStyle w:val="a4"/>
        <w:tblW w:w="9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EF2EEB" w14:paraId="516E067D" w14:textId="77777777">
        <w:tc>
          <w:tcPr>
            <w:tcW w:w="9355" w:type="dxa"/>
            <w:tcMar>
              <w:top w:w="100" w:type="dxa"/>
              <w:left w:w="100" w:type="dxa"/>
              <w:bottom w:w="100" w:type="dxa"/>
              <w:right w:w="100" w:type="dxa"/>
            </w:tcMar>
          </w:tcPr>
          <w:p w14:paraId="000000FA" w14:textId="21150A5A" w:rsidR="00EF2EEB" w:rsidRDefault="00E57539">
            <w:pPr>
              <w:widowControl w:val="0"/>
              <w:pBdr>
                <w:top w:val="nil"/>
                <w:left w:val="nil"/>
                <w:bottom w:val="nil"/>
                <w:right w:val="nil"/>
                <w:between w:val="nil"/>
              </w:pBdr>
              <w:spacing w:after="0" w:line="276" w:lineRule="auto"/>
              <w:jc w:val="both"/>
              <w:rPr>
                <w:rFonts w:ascii="Arial" w:eastAsia="Arial" w:hAnsi="Arial" w:cs="Arial"/>
              </w:rPr>
            </w:pPr>
            <w:r>
              <w:rPr>
                <w:rFonts w:ascii="Arial" w:eastAsia="Arial" w:hAnsi="Arial" w:cs="Arial"/>
              </w:rPr>
              <w:t xml:space="preserve">Una vez finalizado este paso se recomienda actualizar los atributos de Matricula_Inmobiliaria, Destinacion_Economica y Nombre, teniendo en cuenta la estructura sugerida por Ciudata+ para la conformación del inventario </w:t>
            </w:r>
          </w:p>
        </w:tc>
      </w:tr>
    </w:tbl>
    <w:p w14:paraId="000000FB" w14:textId="77777777" w:rsidR="00EF2EEB" w:rsidRDefault="00EF2EEB">
      <w:pPr>
        <w:spacing w:before="280" w:after="280" w:line="276" w:lineRule="auto"/>
        <w:jc w:val="both"/>
        <w:rPr>
          <w:rFonts w:ascii="Arial" w:eastAsia="Arial" w:hAnsi="Arial" w:cs="Arial"/>
          <w:b/>
          <w:bCs/>
        </w:rPr>
      </w:pPr>
    </w:p>
    <w:p w14:paraId="000000FC" w14:textId="4CDCE079" w:rsidR="00EF2EEB" w:rsidRPr="005F3EB9" w:rsidRDefault="00E57539" w:rsidP="005F3EB9">
      <w:pPr>
        <w:pStyle w:val="Ttulo2"/>
        <w:rPr>
          <w:rFonts w:ascii="Arial" w:hAnsi="Arial" w:cs="Arial"/>
          <w:b/>
          <w:bCs/>
          <w:color w:val="auto"/>
          <w:sz w:val="24"/>
          <w:szCs w:val="24"/>
        </w:rPr>
      </w:pPr>
      <w:bookmarkStart w:id="50" w:name="_Toc228874218"/>
      <w:r w:rsidRPr="005F3EB9">
        <w:rPr>
          <w:rFonts w:ascii="Arial" w:hAnsi="Arial" w:cs="Arial"/>
          <w:b/>
          <w:bCs/>
          <w:color w:val="auto"/>
          <w:sz w:val="24"/>
          <w:szCs w:val="24"/>
        </w:rPr>
        <w:t>2.3 Paso 3: Clasificación y generalidades de los bienes inmuebles en el inventario</w:t>
      </w:r>
      <w:bookmarkEnd w:id="50"/>
      <w:r w:rsidRPr="005F3EB9">
        <w:rPr>
          <w:rFonts w:ascii="Arial" w:hAnsi="Arial" w:cs="Arial"/>
          <w:b/>
          <w:bCs/>
          <w:color w:val="auto"/>
          <w:sz w:val="24"/>
          <w:szCs w:val="24"/>
        </w:rPr>
        <w:t xml:space="preserve"> </w:t>
      </w:r>
    </w:p>
    <w:p w14:paraId="000000FD" w14:textId="77777777" w:rsidR="00EF2EEB" w:rsidRDefault="00E57539">
      <w:pPr>
        <w:spacing w:before="280" w:after="280" w:line="276" w:lineRule="auto"/>
        <w:jc w:val="both"/>
        <w:rPr>
          <w:rFonts w:ascii="Arial" w:eastAsia="Arial" w:hAnsi="Arial" w:cs="Arial"/>
        </w:rPr>
      </w:pPr>
      <w:r>
        <w:rPr>
          <w:rFonts w:ascii="Arial" w:eastAsia="Arial" w:hAnsi="Arial" w:cs="Arial"/>
        </w:rPr>
        <w:t>Para avanzar en la conformación del inventario municipal de inmuebles es necesario contar con una comprensión básica sobre los tipos de bienes inmuebles que pueden hacer parte de este. Estas categorías permiten identificar la naturaleza general de cada predio y sirven como referencia para la clasificación preliminar que se realiza en el siguiente paso.</w:t>
      </w:r>
    </w:p>
    <w:p w14:paraId="000000FE" w14:textId="70C3EA95" w:rsidR="00EF2EEB" w:rsidRDefault="00E57539">
      <w:pPr>
        <w:spacing w:before="280" w:after="280" w:line="276" w:lineRule="auto"/>
        <w:jc w:val="both"/>
        <w:rPr>
          <w:rFonts w:ascii="Arial" w:eastAsia="Arial" w:hAnsi="Arial" w:cs="Arial"/>
          <w:b/>
          <w:bCs/>
        </w:rPr>
      </w:pPr>
      <w:r>
        <w:rPr>
          <w:rFonts w:ascii="Arial" w:eastAsia="Arial" w:hAnsi="Arial" w:cs="Arial"/>
        </w:rPr>
        <w:lastRenderedPageBreak/>
        <w:t>A continuación, se presentan las principales categorías de bienes inmuebles de uso público, fiscales, baldíos urbanos y privados junto con sus características generales y ejemplos representativos</w:t>
      </w:r>
      <w:r>
        <w:rPr>
          <w:rFonts w:ascii="Arial" w:eastAsia="Arial" w:hAnsi="Arial" w:cs="Arial"/>
          <w:b/>
          <w:bCs/>
        </w:rPr>
        <w:t>.</w:t>
      </w:r>
      <w:r w:rsidR="005F3EB9">
        <w:rPr>
          <w:rFonts w:ascii="Arial" w:eastAsia="Arial" w:hAnsi="Arial" w:cs="Arial"/>
          <w:b/>
          <w:bCs/>
        </w:rPr>
        <w:t xml:space="preserve"> </w:t>
      </w:r>
    </w:p>
    <w:p w14:paraId="00000107" w14:textId="77777777" w:rsidR="00EF2EEB" w:rsidRDefault="00E57539">
      <w:pPr>
        <w:spacing w:before="240" w:after="240" w:line="276" w:lineRule="auto"/>
        <w:jc w:val="center"/>
        <w:rPr>
          <w:rFonts w:ascii="Arial" w:eastAsia="Arial" w:hAnsi="Arial" w:cs="Arial"/>
          <w:b/>
          <w:bCs/>
        </w:rPr>
      </w:pPr>
      <w:r>
        <w:rPr>
          <w:rFonts w:ascii="Arial" w:eastAsia="Arial" w:hAnsi="Arial" w:cs="Arial"/>
          <w:b/>
          <w:bCs/>
        </w:rPr>
        <w:t>Gráfica N° 4. Clasificación de los bienes inmuebles según su naturaleza</w:t>
      </w:r>
    </w:p>
    <w:p w14:paraId="00000108" w14:textId="77777777" w:rsidR="00EF2EEB" w:rsidRDefault="00E57539">
      <w:pPr>
        <w:spacing w:before="280" w:after="280" w:line="240" w:lineRule="auto"/>
        <w:jc w:val="center"/>
        <w:rPr>
          <w:rFonts w:ascii="Arial Narrow" w:eastAsia="Arial Narrow" w:hAnsi="Arial Narrow" w:cs="Arial Narrow"/>
          <w:b/>
          <w:bCs/>
          <w:sz w:val="28"/>
          <w:szCs w:val="28"/>
        </w:rPr>
      </w:pPr>
      <w:r>
        <w:rPr>
          <w:rFonts w:ascii="Arial Narrow" w:eastAsia="Arial Narrow" w:hAnsi="Arial Narrow" w:cs="Arial Narrow"/>
          <w:noProof/>
        </w:rPr>
        <w:drawing>
          <wp:inline distT="114300" distB="114300" distL="114300" distR="114300" wp14:anchorId="14CD82A3" wp14:editId="74A9B649">
            <wp:extent cx="5335905" cy="4691063"/>
            <wp:effectExtent l="0" t="0" r="0" b="0"/>
            <wp:docPr id="1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5339419" cy="4694152"/>
                    </a:xfrm>
                    <a:prstGeom prst="rect">
                      <a:avLst/>
                    </a:prstGeom>
                    <a:ln/>
                  </pic:spPr>
                </pic:pic>
              </a:graphicData>
            </a:graphic>
          </wp:inline>
        </w:drawing>
      </w:r>
    </w:p>
    <w:p w14:paraId="00000109" w14:textId="77777777" w:rsidR="00EF2EEB" w:rsidRDefault="00E57539">
      <w:pPr>
        <w:spacing w:before="280" w:after="280" w:line="240" w:lineRule="auto"/>
        <w:jc w:val="both"/>
        <w:rPr>
          <w:rFonts w:ascii="Arial Narrow" w:eastAsia="Arial Narrow" w:hAnsi="Arial Narrow" w:cs="Arial Narrow"/>
          <w:b/>
          <w:bCs/>
          <w:sz w:val="28"/>
          <w:szCs w:val="28"/>
        </w:rPr>
      </w:pPr>
      <w:r>
        <w:rPr>
          <w:noProof/>
        </w:rPr>
        <mc:AlternateContent>
          <mc:Choice Requires="wps">
            <w:drawing>
              <wp:anchor distT="0" distB="0" distL="114300" distR="114300" simplePos="0" relativeHeight="251663872" behindDoc="0" locked="0" layoutInCell="1" hidden="0" allowOverlap="1" wp14:anchorId="08F2305F" wp14:editId="4E365532">
                <wp:simplePos x="0" y="0"/>
                <wp:positionH relativeFrom="column">
                  <wp:posOffset>114300</wp:posOffset>
                </wp:positionH>
                <wp:positionV relativeFrom="paragraph">
                  <wp:posOffset>0</wp:posOffset>
                </wp:positionV>
                <wp:extent cx="5814659" cy="1113445"/>
                <wp:effectExtent l="0" t="0" r="0" b="0"/>
                <wp:wrapNone/>
                <wp:docPr id="1" name="Rectángulo 1"/>
                <wp:cNvGraphicFramePr/>
                <a:graphic xmlns:a="http://schemas.openxmlformats.org/drawingml/2006/main">
                  <a:graphicData uri="http://schemas.microsoft.com/office/word/2010/wordprocessingShape">
                    <wps:wsp>
                      <wps:cNvSpPr/>
                      <wps:spPr>
                        <a:xfrm>
                          <a:off x="2443433" y="3395952"/>
                          <a:ext cx="5805134" cy="768096"/>
                        </a:xfrm>
                        <a:prstGeom prst="rect">
                          <a:avLst/>
                        </a:prstGeom>
                        <a:solidFill>
                          <a:schemeClr val="lt1"/>
                        </a:solidFill>
                        <a:ln w="9525" cap="flat" cmpd="sng">
                          <a:solidFill>
                            <a:srgbClr val="000000"/>
                          </a:solidFill>
                          <a:prstDash val="solid"/>
                          <a:round/>
                          <a:headEnd type="none" w="sm" len="sm"/>
                          <a:tailEnd type="none" w="sm" len="sm"/>
                        </a:ln>
                      </wps:spPr>
                      <wps:txbx>
                        <w:txbxContent>
                          <w:p w14:paraId="1D142C4C" w14:textId="0CEAF97A" w:rsidR="00EF2EEB" w:rsidRDefault="00E57539">
                            <w:pPr>
                              <w:spacing w:line="277" w:lineRule="auto"/>
                              <w:textDirection w:val="btLr"/>
                            </w:pPr>
                            <w:r>
                              <w:rPr>
                                <w:rFonts w:ascii="Arial" w:eastAsia="Arial" w:hAnsi="Arial" w:cs="Arial"/>
                                <w:b/>
                                <w:color w:val="000000"/>
                              </w:rPr>
                              <w:t>Nota:</w:t>
                            </w:r>
                            <w:r>
                              <w:rPr>
                                <w:rFonts w:ascii="Arial" w:eastAsia="Arial" w:hAnsi="Arial" w:cs="Arial"/>
                                <w:color w:val="000000"/>
                              </w:rPr>
                              <w:t xml:space="preserve"> Cada tipo de bien cumple una función distinta en el territorio. Conocer estas diferencias ayuda a identificar de manera preliminar qué tipo de predio es y facilita su clasificación en el inventario</w:t>
                            </w:r>
                            <w:r w:rsidR="006C1FB1">
                              <w:rPr>
                                <w:rFonts w:ascii="Arial" w:eastAsia="Arial" w:hAnsi="Arial" w:cs="Arial"/>
                                <w:color w:val="000000"/>
                              </w:rPr>
                              <w:t>.</w:t>
                            </w:r>
                          </w:p>
                          <w:p w14:paraId="29F410FD" w14:textId="77777777" w:rsidR="00EF2EEB" w:rsidRDefault="00EF2EEB">
                            <w:pPr>
                              <w:spacing w:line="277" w:lineRule="auto"/>
                              <w:textDirection w:val="btLr"/>
                            </w:pPr>
                          </w:p>
                        </w:txbxContent>
                      </wps:txbx>
                      <wps:bodyPr spcFirstLastPara="1" wrap="square" lIns="91425" tIns="45700" rIns="91425" bIns="45700" anchor="t" anchorCtr="0">
                        <a:noAutofit/>
                      </wps:bodyPr>
                    </wps:wsp>
                  </a:graphicData>
                </a:graphic>
              </wp:anchor>
            </w:drawing>
          </mc:Choice>
          <mc:Fallback>
            <w:pict>
              <v:rect w14:anchorId="08F2305F" id="Rectángulo 1" o:spid="_x0000_s1026" style="position:absolute;left:0;text-align:left;margin-left:9pt;margin-top:0;width:457.85pt;height:87.6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" fillcolor="white [3201]">
                <v:stroke startarrowwidth="narrow" startarrowlength="short" endarrowwidth="narrow" endarrowlength="short" joinstyle="round"/>
                <v:textbox inset="2.53958mm,1.2694mm,2.53958mm,1.2694mm">
                  <w:txbxContent>
                    <w:p w14:paraId="1D142C4C" w14:textId="0CEAF97A" w:rsidR="00EF2EEB" w:rsidRDefault="00E57539">
                      <w:pPr>
                        <w:spacing w:line="277" w:lineRule="auto"/>
                        <w:textDirection w:val="btLr"/>
                      </w:pPr>
                      <w:r>
                        <w:rPr>
                          <w:rFonts w:ascii="Arial" w:eastAsia="Arial" w:hAnsi="Arial" w:cs="Arial"/>
                          <w:b/>
                          <w:color w:val="000000"/>
                        </w:rPr>
                        <w:t>Nota:</w:t>
                      </w:r>
                      <w:r>
                        <w:rPr>
                          <w:rFonts w:ascii="Arial" w:eastAsia="Arial" w:hAnsi="Arial" w:cs="Arial"/>
                          <w:color w:val="000000"/>
                        </w:rPr>
                        <w:t xml:space="preserve"> Cada tipo de bien cumple una función distinta en el territorio. Conocer estas diferencias ayuda a identificar de manera preliminar qué tipo de predio es y facilita su clasificación en el inventario</w:t>
                      </w:r>
                      <w:r w:rsidR="006C1FB1">
                        <w:rPr>
                          <w:rFonts w:ascii="Arial" w:eastAsia="Arial" w:hAnsi="Arial" w:cs="Arial"/>
                          <w:color w:val="000000"/>
                        </w:rPr>
                        <w:t>.</w:t>
                      </w:r>
                    </w:p>
                    <w:p w14:paraId="29F410FD" w14:textId="77777777" w:rsidR="00EF2EEB" w:rsidRDefault="00EF2EEB">
                      <w:pPr>
                        <w:spacing w:line="277" w:lineRule="auto"/>
                        <w:textDirection w:val="btLr"/>
                      </w:pPr>
                    </w:p>
                  </w:txbxContent>
                </v:textbox>
              </v:rect>
            </w:pict>
          </mc:Fallback>
        </mc:AlternateContent>
      </w:r>
    </w:p>
    <w:p w14:paraId="2E5AE97E" w14:textId="77777777" w:rsidR="00672A75" w:rsidRDefault="00672A75">
      <w:pPr>
        <w:spacing w:before="240" w:after="240" w:line="276" w:lineRule="auto"/>
        <w:jc w:val="both"/>
        <w:rPr>
          <w:rFonts w:ascii="Arial" w:eastAsia="Arial" w:hAnsi="Arial" w:cs="Arial"/>
        </w:rPr>
      </w:pPr>
    </w:p>
    <w:p w14:paraId="0191C9BA" w14:textId="77777777" w:rsidR="00672A75" w:rsidRDefault="00672A75">
      <w:pPr>
        <w:spacing w:before="240" w:after="240" w:line="276" w:lineRule="auto"/>
        <w:jc w:val="both"/>
        <w:rPr>
          <w:rFonts w:ascii="Arial" w:eastAsia="Arial" w:hAnsi="Arial" w:cs="Arial"/>
        </w:rPr>
      </w:pPr>
    </w:p>
    <w:p w14:paraId="0000010D" w14:textId="70BC4436" w:rsidR="00EF2EEB" w:rsidRDefault="00E57539">
      <w:pPr>
        <w:spacing w:before="240" w:after="240" w:line="276" w:lineRule="auto"/>
        <w:jc w:val="both"/>
        <w:rPr>
          <w:rFonts w:ascii="Arial" w:eastAsia="Arial" w:hAnsi="Arial" w:cs="Arial"/>
        </w:rPr>
      </w:pPr>
      <w:r>
        <w:rPr>
          <w:rFonts w:ascii="Arial" w:eastAsia="Arial" w:hAnsi="Arial" w:cs="Arial"/>
        </w:rPr>
        <w:lastRenderedPageBreak/>
        <w:t xml:space="preserve">En este paso se realiza una clasificación preliminar de los predios según su naturaleza bien de uso público, bien fiscal, bien baldío o privado a partir de la información técnica, catastral, registral, documental y normativa recopilada en las etapas anteriores. Esta clasificación permite identificar la condición general del inmueble y actualizar en el inventario el atributo </w:t>
      </w:r>
      <w:r>
        <w:rPr>
          <w:rFonts w:ascii="Arial" w:eastAsia="Arial" w:hAnsi="Arial" w:cs="Arial"/>
          <w:b/>
          <w:bCs/>
        </w:rPr>
        <w:t>Tipo_Predio</w:t>
      </w:r>
      <w:r>
        <w:rPr>
          <w:rFonts w:ascii="Arial" w:eastAsia="Arial" w:hAnsi="Arial" w:cs="Arial"/>
        </w:rPr>
        <w:t>, siguiendo la estructura sugerida por Ciudata+.</w:t>
      </w:r>
    </w:p>
    <w:p w14:paraId="0000010E" w14:textId="07D70C6B" w:rsidR="00EF2EEB" w:rsidRDefault="00E57539">
      <w:pPr>
        <w:spacing w:before="240" w:after="240" w:line="276" w:lineRule="auto"/>
        <w:jc w:val="both"/>
        <w:rPr>
          <w:rFonts w:ascii="Arial" w:eastAsia="Arial" w:hAnsi="Arial" w:cs="Arial"/>
        </w:rPr>
      </w:pPr>
      <w:r>
        <w:rPr>
          <w:rFonts w:ascii="Arial" w:eastAsia="Arial" w:hAnsi="Arial" w:cs="Arial"/>
        </w:rPr>
        <w:t>El flujograma que se presenta a continuación resume los criterios básicos utilizados para asignar cada predio a una de estas categorías, facilitando una lectura rápida y coherente del estado del bien dentro del inventario y orientando el análisis que se desarrollará en el siguiente paso del proceso.</w:t>
      </w:r>
    </w:p>
    <w:p w14:paraId="0000010F" w14:textId="77777777" w:rsidR="00EF2EEB" w:rsidRDefault="00EF2EEB">
      <w:pPr>
        <w:spacing w:before="240" w:after="240" w:line="240" w:lineRule="auto"/>
        <w:jc w:val="center"/>
        <w:rPr>
          <w:rFonts w:ascii="Arial" w:eastAsia="Arial" w:hAnsi="Arial" w:cs="Arial"/>
          <w:b/>
          <w:bCs/>
        </w:rPr>
      </w:pPr>
    </w:p>
    <w:p w14:paraId="00000110" w14:textId="77777777" w:rsidR="00EF2EEB" w:rsidRDefault="00E57539">
      <w:pPr>
        <w:spacing w:before="240" w:after="240" w:line="240" w:lineRule="auto"/>
        <w:jc w:val="center"/>
        <w:rPr>
          <w:rFonts w:ascii="Arial" w:eastAsia="Arial" w:hAnsi="Arial" w:cs="Arial"/>
        </w:rPr>
      </w:pPr>
      <w:r>
        <w:rPr>
          <w:rFonts w:ascii="Arial" w:eastAsia="Arial" w:hAnsi="Arial" w:cs="Arial"/>
          <w:b/>
          <w:bCs/>
        </w:rPr>
        <w:t>Gráfica N° 5. Flujograma de clasificación de los bienes</w:t>
      </w:r>
    </w:p>
    <w:p w14:paraId="00000111" w14:textId="77777777" w:rsidR="00EF2EEB" w:rsidRDefault="00E57539">
      <w:pPr>
        <w:spacing w:before="40" w:after="240" w:line="240" w:lineRule="auto"/>
        <w:jc w:val="center"/>
        <w:rPr>
          <w:rFonts w:ascii="Arial Narrow" w:eastAsia="Arial Narrow" w:hAnsi="Arial Narrow" w:cs="Arial Narrow"/>
          <w:sz w:val="18"/>
          <w:szCs w:val="18"/>
        </w:rPr>
      </w:pPr>
      <w:r>
        <w:rPr>
          <w:rFonts w:ascii="Arial Narrow" w:eastAsia="Arial Narrow" w:hAnsi="Arial Narrow" w:cs="Arial Narrow"/>
          <w:noProof/>
          <w:sz w:val="18"/>
          <w:szCs w:val="18"/>
        </w:rPr>
        <w:drawing>
          <wp:inline distT="114300" distB="114300" distL="114300" distR="114300" wp14:anchorId="156F5135" wp14:editId="6A8B2343">
            <wp:extent cx="5127625" cy="3840881"/>
            <wp:effectExtent l="0" t="0" r="0" b="0"/>
            <wp:docPr id="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0"/>
                    <a:srcRect t="63" b="63"/>
                    <a:stretch>
                      <a:fillRect/>
                    </a:stretch>
                  </pic:blipFill>
                  <pic:spPr>
                    <a:xfrm>
                      <a:off x="0" y="0"/>
                      <a:ext cx="5127625" cy="3840881"/>
                    </a:xfrm>
                    <a:prstGeom prst="rect">
                      <a:avLst/>
                    </a:prstGeom>
                    <a:ln/>
                  </pic:spPr>
                </pic:pic>
              </a:graphicData>
            </a:graphic>
          </wp:inline>
        </w:drawing>
      </w:r>
    </w:p>
    <w:p w14:paraId="00000112" w14:textId="77777777" w:rsidR="00EF2EEB" w:rsidRDefault="00E57539">
      <w:pPr>
        <w:spacing w:before="40" w:after="240" w:line="240" w:lineRule="auto"/>
        <w:jc w:val="center"/>
        <w:rPr>
          <w:rFonts w:ascii="Arial Narrow" w:eastAsia="Arial Narrow" w:hAnsi="Arial Narrow" w:cs="Arial Narrow"/>
          <w:sz w:val="18"/>
          <w:szCs w:val="18"/>
        </w:rPr>
      </w:pPr>
      <w:r>
        <w:rPr>
          <w:rFonts w:ascii="Arial Narrow" w:eastAsia="Arial Narrow" w:hAnsi="Arial Narrow" w:cs="Arial Narrow"/>
          <w:sz w:val="18"/>
          <w:szCs w:val="18"/>
        </w:rPr>
        <w:t>Fuente: Elaboración propia</w:t>
      </w:r>
    </w:p>
    <w:p w14:paraId="00000113" w14:textId="5B72F6D9" w:rsidR="00EF2EEB" w:rsidRPr="00BA693C" w:rsidRDefault="00BA693C" w:rsidP="00BA693C">
      <w:pPr>
        <w:pStyle w:val="Ttulo2"/>
        <w:rPr>
          <w:rFonts w:ascii="Arial" w:hAnsi="Arial" w:cs="Arial"/>
          <w:b/>
          <w:bCs/>
          <w:color w:val="auto"/>
          <w:sz w:val="24"/>
          <w:szCs w:val="24"/>
        </w:rPr>
      </w:pPr>
      <w:bookmarkStart w:id="51" w:name="_heading=h.pn4mv4wvvglp" w:colFirst="0" w:colLast="0"/>
      <w:bookmarkStart w:id="52" w:name="_Toc228874219"/>
      <w:bookmarkEnd w:id="51"/>
      <w:r w:rsidRPr="00BA693C">
        <w:rPr>
          <w:rFonts w:ascii="Arial" w:hAnsi="Arial" w:cs="Arial"/>
          <w:b/>
          <w:bCs/>
          <w:color w:val="auto"/>
          <w:sz w:val="24"/>
          <w:szCs w:val="24"/>
        </w:rPr>
        <w:lastRenderedPageBreak/>
        <w:t>2.4 Paso</w:t>
      </w:r>
      <w:r w:rsidR="00E57539" w:rsidRPr="00BA693C">
        <w:rPr>
          <w:rFonts w:ascii="Arial" w:hAnsi="Arial" w:cs="Arial"/>
          <w:b/>
          <w:bCs/>
          <w:color w:val="auto"/>
          <w:sz w:val="24"/>
          <w:szCs w:val="24"/>
        </w:rPr>
        <w:t xml:space="preserve"> 4: Clasificar el suelo (Urbano, Rural)</w:t>
      </w:r>
      <w:bookmarkEnd w:id="52"/>
    </w:p>
    <w:p w14:paraId="00000114" w14:textId="77777777" w:rsidR="00EF2EEB" w:rsidRDefault="00E57539">
      <w:pPr>
        <w:spacing w:before="240" w:after="240" w:line="276" w:lineRule="auto"/>
        <w:jc w:val="both"/>
        <w:rPr>
          <w:rFonts w:ascii="Arial" w:eastAsia="Arial" w:hAnsi="Arial" w:cs="Arial"/>
        </w:rPr>
      </w:pPr>
      <w:r>
        <w:rPr>
          <w:rFonts w:ascii="Arial" w:eastAsia="Arial" w:hAnsi="Arial" w:cs="Arial"/>
        </w:rPr>
        <w:t>Como paso siguiente en la consolidación del inventario inmobiliario municipal, se realiza una primera clasificación de cada predio como urbano o rural con base en la información catastral disponible. Esta clasificación preliminar debe contrastarse con la cartografía oficial del instrumento de ordenamiento territorial vigente (POT, PBOT o EOT), verificando la ubicación del predio frente al perímetro urbano y demás delimitaciones aplicables, se recomienda que los entes territoriales tengan la cartografía del instrumento de ordenamiento territorial estructurado bajo el estándar LADM_POT, ya que facilita la integración entre la información normativa del ordenamiento territorial y la información física, jurídica y administrativa de los predios.</w:t>
      </w:r>
    </w:p>
    <w:p w14:paraId="00000115" w14:textId="77777777" w:rsidR="00EF2EEB" w:rsidRDefault="00E57539">
      <w:pPr>
        <w:spacing w:before="240" w:after="240" w:line="276" w:lineRule="auto"/>
        <w:jc w:val="both"/>
        <w:rPr>
          <w:rFonts w:ascii="Arial" w:eastAsia="Arial" w:hAnsi="Arial" w:cs="Arial"/>
        </w:rPr>
      </w:pPr>
      <w:r>
        <w:rPr>
          <w:rFonts w:ascii="Arial" w:eastAsia="Arial" w:hAnsi="Arial" w:cs="Arial"/>
        </w:rPr>
        <w:t>Durante esta revisión es recomendable confirmar la vigencia de la actualización catastral, la vigencia del POT y la existencia de actos administrativos que hayan modificado el perímetro urbano. Con esta verificación, se actualiza en el inventario el atributo de clasificación del suelo, asegurando coherencia con la normativa territorial vigente.</w:t>
      </w:r>
    </w:p>
    <w:p w14:paraId="00000116" w14:textId="77777777" w:rsidR="00EF2EEB" w:rsidRPr="00BA693C" w:rsidRDefault="00E57539" w:rsidP="00BA693C">
      <w:pPr>
        <w:pStyle w:val="Ttulo2"/>
        <w:rPr>
          <w:rFonts w:ascii="Arial" w:hAnsi="Arial" w:cs="Arial"/>
          <w:b/>
          <w:bCs/>
          <w:color w:val="auto"/>
          <w:sz w:val="24"/>
          <w:szCs w:val="24"/>
        </w:rPr>
      </w:pPr>
      <w:bookmarkStart w:id="53" w:name="_Toc228874220"/>
      <w:r w:rsidRPr="00BA693C">
        <w:rPr>
          <w:rFonts w:ascii="Arial" w:hAnsi="Arial" w:cs="Arial"/>
          <w:b/>
          <w:bCs/>
          <w:color w:val="auto"/>
          <w:sz w:val="24"/>
          <w:szCs w:val="24"/>
        </w:rPr>
        <w:t>2.5 Paso 5: Conformación del Inventario municipal de inmuebles</w:t>
      </w:r>
      <w:bookmarkEnd w:id="53"/>
    </w:p>
    <w:p w14:paraId="00000117" w14:textId="77777777" w:rsidR="00EF2EEB" w:rsidRDefault="00E57539">
      <w:pPr>
        <w:spacing w:before="240" w:after="240" w:line="276" w:lineRule="auto"/>
        <w:jc w:val="both"/>
        <w:rPr>
          <w:rFonts w:ascii="Arial" w:eastAsia="Arial" w:hAnsi="Arial" w:cs="Arial"/>
        </w:rPr>
      </w:pPr>
      <w:r>
        <w:rPr>
          <w:rFonts w:ascii="Arial" w:eastAsia="Arial" w:hAnsi="Arial" w:cs="Arial"/>
        </w:rPr>
        <w:t xml:space="preserve">La consolidación del inventario municipal de inmuebles debe realizarse de manera </w:t>
      </w:r>
      <w:r>
        <w:rPr>
          <w:rFonts w:ascii="Arial" w:eastAsia="Arial" w:hAnsi="Arial" w:cs="Arial"/>
          <w:b/>
          <w:bCs/>
        </w:rPr>
        <w:t>escalable</w:t>
      </w:r>
      <w:r>
        <w:rPr>
          <w:rFonts w:ascii="Arial" w:eastAsia="Arial" w:hAnsi="Arial" w:cs="Arial"/>
        </w:rPr>
        <w:t>, según las capacidades técnicas y tecnológicas de cada municipio. En este sentido, la información puede organizarse en distintos niveles de complejidad: desde formatos básicos como hojas de cálculo o bases de datos alfanuméricas, hasta estructuras más avanzadas como bases de datos geográficas o capas de polígonos administrables en un Sistema de Información Geográfica (SIG). Todas estas alternativas son válidas, siempre que permitan mantener la trazabilidad, actualización y consulta del inventario.</w:t>
      </w:r>
    </w:p>
    <w:p w14:paraId="00000118" w14:textId="77777777" w:rsidR="00EF2EEB" w:rsidRDefault="00E57539">
      <w:pPr>
        <w:spacing w:before="240" w:after="240" w:line="276" w:lineRule="auto"/>
        <w:jc w:val="both"/>
        <w:rPr>
          <w:rFonts w:ascii="Arial" w:eastAsia="Arial" w:hAnsi="Arial" w:cs="Arial"/>
        </w:rPr>
      </w:pPr>
      <w:r>
        <w:rPr>
          <w:rFonts w:ascii="Arial" w:eastAsia="Arial" w:hAnsi="Arial" w:cs="Arial"/>
        </w:rPr>
        <w:t xml:space="preserve">Independientemente del formato utilizado, el inventario debe construirse a partir de la información gráfica y alfanumérica proveniente de la base catastral y demás información y de los atributos actualizados en los pasos anteriores. Como mínimo, se recomienda adoptar la estructura presentada en la </w:t>
      </w:r>
      <w:r>
        <w:rPr>
          <w:rFonts w:ascii="Arial" w:eastAsia="Arial" w:hAnsi="Arial" w:cs="Arial"/>
          <w:b/>
          <w:bCs/>
        </w:rPr>
        <w:t>Tabla N.º 2</w:t>
      </w:r>
      <w:r>
        <w:rPr>
          <w:rFonts w:ascii="Arial" w:eastAsia="Arial" w:hAnsi="Arial" w:cs="Arial"/>
        </w:rPr>
        <w:t>, la cual puede ampliarse o complementarse según los recursos y necesidades del municipio.</w:t>
      </w:r>
    </w:p>
    <w:p w14:paraId="00000119" w14:textId="77777777" w:rsidR="00EF2EEB" w:rsidRDefault="00E57539">
      <w:pPr>
        <w:spacing w:before="240" w:after="240" w:line="276" w:lineRule="auto"/>
        <w:jc w:val="both"/>
        <w:rPr>
          <w:rFonts w:ascii="Arial" w:eastAsia="Arial" w:hAnsi="Arial" w:cs="Arial"/>
        </w:rPr>
      </w:pPr>
      <w:r>
        <w:rPr>
          <w:rFonts w:ascii="Arial" w:eastAsia="Arial" w:hAnsi="Arial" w:cs="Arial"/>
        </w:rPr>
        <w:t xml:space="preserve">Como apoyo operativo, se encuentra disponible el Anexo No 6 </w:t>
      </w:r>
      <w:r>
        <w:rPr>
          <w:rFonts w:ascii="Arial" w:eastAsia="Arial" w:hAnsi="Arial" w:cs="Arial"/>
          <w:b/>
          <w:bCs/>
        </w:rPr>
        <w:t>“Instructivo técnico para diligenciar la PlantillaIP y migrar el Inventario municipal de inmuebles a una base de datos geográfica”</w:t>
      </w:r>
      <w:r>
        <w:rPr>
          <w:rFonts w:ascii="Arial" w:eastAsia="Arial" w:hAnsi="Arial" w:cs="Arial"/>
        </w:rPr>
        <w:t xml:space="preserve">, que describe el procedimiento detallado para organizar la </w:t>
      </w:r>
      <w:r>
        <w:rPr>
          <w:rFonts w:ascii="Arial" w:eastAsia="Arial" w:hAnsi="Arial" w:cs="Arial"/>
        </w:rPr>
        <w:lastRenderedPageBreak/>
        <w:t>información en la plantilla y, en caso de contar con capacidades SIG, realizar su migración a un entorno geográfico.</w:t>
      </w:r>
    </w:p>
    <w:p w14:paraId="0000011A" w14:textId="77777777" w:rsidR="00EF2EEB" w:rsidRDefault="00EF2EEB">
      <w:pPr>
        <w:spacing w:before="240" w:after="240" w:line="276" w:lineRule="auto"/>
        <w:jc w:val="both"/>
        <w:rPr>
          <w:rFonts w:ascii="Arial" w:eastAsia="Arial" w:hAnsi="Arial" w:cs="Arial"/>
        </w:rPr>
      </w:pPr>
    </w:p>
    <w:tbl>
      <w:tblPr>
        <w:tblStyle w:val="a5"/>
        <w:tblW w:w="9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EF2EEB" w14:paraId="133C884A" w14:textId="77777777">
        <w:tc>
          <w:tcPr>
            <w:tcW w:w="9355" w:type="dxa"/>
            <w:tcMar>
              <w:top w:w="100" w:type="dxa"/>
              <w:left w:w="100" w:type="dxa"/>
              <w:bottom w:w="100" w:type="dxa"/>
              <w:right w:w="100" w:type="dxa"/>
            </w:tcMar>
          </w:tcPr>
          <w:sdt>
            <w:sdtPr>
              <w:tag w:val="goog_rdk_3"/>
              <w:id w:val="-505355136"/>
              <w:lock w:val="contentLocked"/>
            </w:sdtPr>
            <w:sdtContent>
              <w:p w14:paraId="0000011B" w14:textId="77777777" w:rsidR="00EF2EEB" w:rsidRDefault="00E57539">
                <w:pPr>
                  <w:spacing w:before="240" w:after="240" w:line="276" w:lineRule="auto"/>
                  <w:jc w:val="both"/>
                  <w:rPr>
                    <w:rFonts w:ascii="Arial" w:eastAsia="Arial" w:hAnsi="Arial" w:cs="Arial"/>
                  </w:rPr>
                </w:pPr>
                <w:r>
                  <w:rPr>
                    <w:rFonts w:ascii="Arial" w:eastAsia="Arial" w:hAnsi="Arial" w:cs="Arial"/>
                  </w:rPr>
                  <w:t xml:space="preserve">Para complementar lo descrito anteriormente, consultar el documento: </w:t>
                </w:r>
                <w:r>
                  <w:rPr>
                    <w:rFonts w:ascii="Arial" w:eastAsia="Arial" w:hAnsi="Arial" w:cs="Arial"/>
                    <w:i/>
                    <w:iCs/>
                  </w:rPr>
                  <w:t>“Procedimiento gestión, administración y formalización del inventario municipal de inmuebles”</w:t>
                </w:r>
                <w:r>
                  <w:rPr>
                    <w:rFonts w:ascii="Arial" w:eastAsia="Arial" w:hAnsi="Arial" w:cs="Arial"/>
                  </w:rPr>
                  <w:t xml:space="preserve"> sugerido para hacer parte del sistema integrado de gestión municipal que se hace parte de la Caja de Herramientas de CiuData+.</w:t>
                </w:r>
              </w:p>
            </w:sdtContent>
          </w:sdt>
        </w:tc>
      </w:tr>
    </w:tbl>
    <w:p w14:paraId="0000011C" w14:textId="77777777" w:rsidR="00EF2EEB" w:rsidRDefault="00EF2EEB">
      <w:pPr>
        <w:spacing w:before="240" w:after="240" w:line="276" w:lineRule="auto"/>
        <w:rPr>
          <w:rFonts w:ascii="Arial" w:eastAsia="Arial" w:hAnsi="Arial" w:cs="Arial"/>
        </w:rPr>
      </w:pPr>
    </w:p>
    <w:p w14:paraId="4EB89003" w14:textId="77777777" w:rsidR="00646F00" w:rsidRDefault="00646F00">
      <w:pPr>
        <w:spacing w:before="240" w:after="240" w:line="276" w:lineRule="auto"/>
        <w:rPr>
          <w:rFonts w:ascii="Arial" w:eastAsia="Arial" w:hAnsi="Arial" w:cs="Arial"/>
        </w:rPr>
      </w:pPr>
    </w:p>
    <w:p w14:paraId="67E83AC1" w14:textId="77777777" w:rsidR="00646F00" w:rsidRDefault="00646F00">
      <w:pPr>
        <w:spacing w:before="240" w:after="240" w:line="276" w:lineRule="auto"/>
        <w:rPr>
          <w:rFonts w:ascii="Arial" w:eastAsia="Arial" w:hAnsi="Arial" w:cs="Arial"/>
        </w:rPr>
      </w:pPr>
    </w:p>
    <w:p w14:paraId="1D67F7AB" w14:textId="77777777" w:rsidR="00646F00" w:rsidRDefault="00646F00">
      <w:pPr>
        <w:spacing w:before="240" w:after="240" w:line="276" w:lineRule="auto"/>
        <w:rPr>
          <w:rFonts w:ascii="Arial" w:eastAsia="Arial" w:hAnsi="Arial" w:cs="Arial"/>
        </w:rPr>
      </w:pPr>
    </w:p>
    <w:p w14:paraId="1D21FE5B" w14:textId="77777777" w:rsidR="00646F00" w:rsidRDefault="00646F00">
      <w:pPr>
        <w:spacing w:before="240" w:after="240" w:line="276" w:lineRule="auto"/>
        <w:rPr>
          <w:rFonts w:ascii="Arial" w:eastAsia="Arial" w:hAnsi="Arial" w:cs="Arial"/>
        </w:rPr>
      </w:pPr>
    </w:p>
    <w:p w14:paraId="0ED9F31C" w14:textId="77777777" w:rsidR="00646F00" w:rsidRDefault="00646F00">
      <w:pPr>
        <w:spacing w:before="240" w:after="240" w:line="276" w:lineRule="auto"/>
        <w:rPr>
          <w:rFonts w:ascii="Arial" w:eastAsia="Arial" w:hAnsi="Arial" w:cs="Arial"/>
        </w:rPr>
      </w:pPr>
    </w:p>
    <w:p w14:paraId="196D9684" w14:textId="77777777" w:rsidR="00646F00" w:rsidRDefault="00646F00">
      <w:pPr>
        <w:spacing w:before="240" w:after="240" w:line="276" w:lineRule="auto"/>
        <w:rPr>
          <w:rFonts w:ascii="Arial" w:eastAsia="Arial" w:hAnsi="Arial" w:cs="Arial"/>
        </w:rPr>
      </w:pPr>
    </w:p>
    <w:p w14:paraId="447AC395" w14:textId="77777777" w:rsidR="00646F00" w:rsidRDefault="00646F00">
      <w:pPr>
        <w:spacing w:before="240" w:after="240" w:line="276" w:lineRule="auto"/>
        <w:rPr>
          <w:rFonts w:ascii="Arial" w:eastAsia="Arial" w:hAnsi="Arial" w:cs="Arial"/>
        </w:rPr>
      </w:pPr>
    </w:p>
    <w:p w14:paraId="01A9DAAC" w14:textId="77777777" w:rsidR="00646F00" w:rsidRDefault="00646F00">
      <w:pPr>
        <w:spacing w:before="240" w:after="240" w:line="276" w:lineRule="auto"/>
        <w:rPr>
          <w:rFonts w:ascii="Arial" w:eastAsia="Arial" w:hAnsi="Arial" w:cs="Arial"/>
        </w:rPr>
      </w:pPr>
    </w:p>
    <w:p w14:paraId="009BED16" w14:textId="77777777" w:rsidR="00646F00" w:rsidRDefault="00646F00">
      <w:pPr>
        <w:spacing w:before="240" w:after="240" w:line="276" w:lineRule="auto"/>
        <w:rPr>
          <w:rFonts w:ascii="Arial" w:eastAsia="Arial" w:hAnsi="Arial" w:cs="Arial"/>
        </w:rPr>
      </w:pPr>
    </w:p>
    <w:p w14:paraId="104A8DFA" w14:textId="77777777" w:rsidR="00646F00" w:rsidRDefault="00646F00">
      <w:pPr>
        <w:spacing w:before="240" w:after="240" w:line="276" w:lineRule="auto"/>
        <w:rPr>
          <w:rFonts w:ascii="Arial" w:eastAsia="Arial" w:hAnsi="Arial" w:cs="Arial"/>
        </w:rPr>
      </w:pPr>
    </w:p>
    <w:p w14:paraId="0000011E" w14:textId="2A080AE2" w:rsidR="00EF2EEB" w:rsidRPr="00BA693C" w:rsidRDefault="00E57539" w:rsidP="00BA693C">
      <w:pPr>
        <w:pStyle w:val="Ttulo1"/>
        <w:jc w:val="center"/>
        <w:rPr>
          <w:rFonts w:ascii="Arial" w:hAnsi="Arial" w:cs="Arial"/>
          <w:b/>
          <w:bCs/>
          <w:color w:val="auto"/>
          <w:sz w:val="24"/>
          <w:szCs w:val="24"/>
        </w:rPr>
      </w:pPr>
      <w:bookmarkStart w:id="54" w:name="_Toc228874221"/>
      <w:r w:rsidRPr="00BA693C">
        <w:rPr>
          <w:rFonts w:ascii="Arial" w:hAnsi="Arial" w:cs="Arial"/>
          <w:b/>
          <w:bCs/>
          <w:color w:val="auto"/>
          <w:sz w:val="24"/>
          <w:szCs w:val="24"/>
        </w:rPr>
        <w:lastRenderedPageBreak/>
        <w:t>Capítulo 3.</w:t>
      </w:r>
      <w:r w:rsidR="00646F00">
        <w:rPr>
          <w:rFonts w:ascii="Arial" w:hAnsi="Arial" w:cs="Arial"/>
          <w:b/>
          <w:bCs/>
          <w:color w:val="auto"/>
          <w:sz w:val="24"/>
          <w:szCs w:val="24"/>
        </w:rPr>
        <w:t xml:space="preserve"> </w:t>
      </w:r>
      <w:r w:rsidRPr="00BA693C">
        <w:rPr>
          <w:rFonts w:ascii="Arial" w:hAnsi="Arial" w:cs="Arial"/>
          <w:b/>
          <w:bCs/>
          <w:color w:val="auto"/>
          <w:sz w:val="24"/>
          <w:szCs w:val="24"/>
        </w:rPr>
        <w:t>Uso del inventario municipal de inmuebles para la asignación de rutas de saneamiento</w:t>
      </w:r>
      <w:bookmarkEnd w:id="54"/>
    </w:p>
    <w:p w14:paraId="0000011F" w14:textId="77777777" w:rsidR="00EF2EEB" w:rsidRDefault="00E57539">
      <w:pPr>
        <w:spacing w:before="240" w:after="240" w:line="276" w:lineRule="auto"/>
        <w:jc w:val="both"/>
        <w:rPr>
          <w:rFonts w:ascii="Arial" w:eastAsia="Arial" w:hAnsi="Arial" w:cs="Arial"/>
        </w:rPr>
      </w:pPr>
      <w:r>
        <w:rPr>
          <w:rFonts w:ascii="Arial" w:eastAsia="Arial" w:hAnsi="Arial" w:cs="Arial"/>
        </w:rPr>
        <w:t>La conformación del inventario municipal de inmuebles constituye el punto de partida para la gestión jurídica y administrativa de los bienes inmuebles del municipio. Una vez identificada la naturaleza preliminar de cada predio y actualizados los atributos básicos en el inventario, es posible determinar qué inmuebles podrían requerir procesos de saneamiento, formalización o actualización jurídica.</w:t>
      </w:r>
    </w:p>
    <w:p w14:paraId="00000120" w14:textId="77777777" w:rsidR="00EF2EEB" w:rsidRDefault="00E57539">
      <w:pPr>
        <w:spacing w:before="240" w:after="240" w:line="276" w:lineRule="auto"/>
        <w:jc w:val="both"/>
        <w:rPr>
          <w:rFonts w:ascii="Arial" w:eastAsia="Arial" w:hAnsi="Arial" w:cs="Arial"/>
        </w:rPr>
      </w:pPr>
      <w:r>
        <w:rPr>
          <w:rFonts w:ascii="Arial" w:eastAsia="Arial" w:hAnsi="Arial" w:cs="Arial"/>
        </w:rPr>
        <w:t>Cada categoría de bien fiscal, privado, baldío urbano o de uso público puede presentar situaciones particulares que deben ser atendidas mediante los procedimientos definidos en las cartillas especializadas del KIT de herramientas para la gestión, administración y formalización del inmueble municipal de inmuebles. La Cartilla 1 no desarrolla estos procedimientos, pero sí establece la estructura mínima de información necesaria para orientar su selección.</w:t>
      </w:r>
    </w:p>
    <w:p w14:paraId="00000121" w14:textId="77777777" w:rsidR="00EF2EEB" w:rsidRDefault="00E57539">
      <w:pPr>
        <w:spacing w:before="240" w:after="240" w:line="276" w:lineRule="auto"/>
        <w:jc w:val="both"/>
        <w:rPr>
          <w:rFonts w:ascii="Arial" w:eastAsia="Arial" w:hAnsi="Arial" w:cs="Arial"/>
        </w:rPr>
      </w:pPr>
      <w:r>
        <w:rPr>
          <w:rFonts w:ascii="Arial" w:eastAsia="Arial" w:hAnsi="Arial" w:cs="Arial"/>
          <w:b/>
          <w:bCs/>
        </w:rPr>
        <w:t>El Mapa Completo de Rutas de Saneamiento</w:t>
      </w:r>
      <w:r>
        <w:rPr>
          <w:rFonts w:ascii="Arial" w:eastAsia="Arial" w:hAnsi="Arial" w:cs="Arial"/>
        </w:rPr>
        <w:t xml:space="preserve">, </w:t>
      </w:r>
      <w:r>
        <w:rPr>
          <w:rFonts w:ascii="Arial" w:eastAsia="Arial" w:hAnsi="Arial" w:cs="Arial"/>
          <w:b/>
          <w:bCs/>
        </w:rPr>
        <w:t>presentado en las generalidades</w:t>
      </w:r>
      <w:r>
        <w:rPr>
          <w:rFonts w:ascii="Arial" w:eastAsia="Arial" w:hAnsi="Arial" w:cs="Arial"/>
        </w:rPr>
        <w:t xml:space="preserve"> de esta cartilla, permite identificar la cartilla correspondiente según la situación jurídica, catastral y administrativa de cada inmueble. A partir del inventario consolidado, los municipios pueden remitir cada predio a la ruta aplicable y continuar su gestión conforme a los lineamientos técnicos y normativos establecidos en las demás cartillas del KIT.</w:t>
      </w:r>
    </w:p>
    <w:p w14:paraId="00000122" w14:textId="74DFF51B" w:rsidR="00EF2EEB" w:rsidRDefault="00E57539">
      <w:pPr>
        <w:spacing w:before="240" w:after="240" w:line="276" w:lineRule="auto"/>
        <w:jc w:val="both"/>
        <w:rPr>
          <w:rFonts w:ascii="Arial" w:eastAsia="Arial" w:hAnsi="Arial" w:cs="Arial"/>
        </w:rPr>
      </w:pPr>
      <w:r>
        <w:rPr>
          <w:rFonts w:ascii="Arial" w:eastAsia="Arial" w:hAnsi="Arial" w:cs="Arial"/>
        </w:rPr>
        <w:t>Con ello, el inventario se convierte en una herramienta central para la toma de decisiones, la priorización de actuaciones y la articulación entre catastro, registro y ordenamiento territorial, facilitando la administración del suelo fiscal y el avance ordenado de los procesos de saneamiento.</w:t>
      </w:r>
    </w:p>
    <w:p w14:paraId="00000123" w14:textId="77777777" w:rsidR="00EF2EEB" w:rsidRDefault="00EF2EEB">
      <w:pPr>
        <w:spacing w:before="240" w:after="240" w:line="240" w:lineRule="auto"/>
        <w:jc w:val="both"/>
        <w:rPr>
          <w:rFonts w:ascii="Arial Narrow" w:eastAsia="Arial Narrow" w:hAnsi="Arial Narrow" w:cs="Arial Narrow"/>
          <w:highlight w:val="yellow"/>
        </w:rPr>
      </w:pPr>
    </w:p>
    <w:p w14:paraId="4C003285" w14:textId="77777777" w:rsidR="00646F00" w:rsidRDefault="00646F00">
      <w:pPr>
        <w:spacing w:before="240" w:after="240" w:line="240" w:lineRule="auto"/>
        <w:jc w:val="both"/>
        <w:rPr>
          <w:rFonts w:ascii="Arial Narrow" w:eastAsia="Arial Narrow" w:hAnsi="Arial Narrow" w:cs="Arial Narrow"/>
          <w:highlight w:val="yellow"/>
        </w:rPr>
      </w:pPr>
    </w:p>
    <w:p w14:paraId="00000124" w14:textId="77777777" w:rsidR="00EF2EEB" w:rsidRDefault="00EF2EEB">
      <w:pPr>
        <w:spacing w:before="240" w:after="240" w:line="240" w:lineRule="auto"/>
        <w:jc w:val="both"/>
        <w:rPr>
          <w:rFonts w:ascii="Arial Narrow" w:eastAsia="Arial Narrow" w:hAnsi="Arial Narrow" w:cs="Arial Narrow"/>
          <w:highlight w:val="yellow"/>
        </w:rPr>
      </w:pPr>
    </w:p>
    <w:p w14:paraId="00000125" w14:textId="77777777" w:rsidR="00EF2EEB" w:rsidRDefault="00EF2EEB">
      <w:pPr>
        <w:spacing w:before="240" w:after="240" w:line="240" w:lineRule="auto"/>
        <w:jc w:val="both"/>
        <w:rPr>
          <w:rFonts w:ascii="Arial Narrow" w:eastAsia="Arial Narrow" w:hAnsi="Arial Narrow" w:cs="Arial Narrow"/>
          <w:highlight w:val="yellow"/>
        </w:rPr>
      </w:pPr>
    </w:p>
    <w:p w14:paraId="00000126" w14:textId="77777777" w:rsidR="00EF2EEB" w:rsidRDefault="00EF2EEB">
      <w:pPr>
        <w:spacing w:before="240" w:after="240" w:line="240" w:lineRule="auto"/>
        <w:jc w:val="both"/>
        <w:rPr>
          <w:rFonts w:ascii="Arial Narrow" w:eastAsia="Arial Narrow" w:hAnsi="Arial Narrow" w:cs="Arial Narrow"/>
          <w:highlight w:val="yellow"/>
        </w:rPr>
      </w:pPr>
    </w:p>
    <w:p w14:paraId="00000127" w14:textId="77777777" w:rsidR="00EF2EEB" w:rsidRPr="00BA693C" w:rsidRDefault="00E57539" w:rsidP="00BA693C">
      <w:pPr>
        <w:pStyle w:val="Ttulo1"/>
        <w:rPr>
          <w:rFonts w:ascii="Arial" w:hAnsi="Arial" w:cs="Arial"/>
          <w:b/>
          <w:bCs/>
          <w:color w:val="auto"/>
          <w:sz w:val="24"/>
          <w:szCs w:val="24"/>
        </w:rPr>
      </w:pPr>
      <w:bookmarkStart w:id="55" w:name="_heading=h.sym0maygp4yv" w:colFirst="0" w:colLast="0"/>
      <w:bookmarkStart w:id="56" w:name="_Toc228874222"/>
      <w:bookmarkEnd w:id="55"/>
      <w:r w:rsidRPr="00BA693C">
        <w:rPr>
          <w:rFonts w:ascii="Arial" w:hAnsi="Arial" w:cs="Arial"/>
          <w:b/>
          <w:bCs/>
          <w:color w:val="auto"/>
          <w:sz w:val="24"/>
          <w:szCs w:val="24"/>
        </w:rPr>
        <w:lastRenderedPageBreak/>
        <w:t>Glosario</w:t>
      </w:r>
      <w:bookmarkEnd w:id="56"/>
    </w:p>
    <w:p w14:paraId="00000128" w14:textId="77777777" w:rsidR="00EF2EEB" w:rsidRDefault="00EF2EEB">
      <w:pPr>
        <w:spacing w:line="276" w:lineRule="auto"/>
        <w:jc w:val="both"/>
        <w:rPr>
          <w:rFonts w:ascii="Arial" w:eastAsia="Arial" w:hAnsi="Arial" w:cs="Arial"/>
          <w:b/>
          <w:bCs/>
        </w:rPr>
      </w:pPr>
    </w:p>
    <w:p w14:paraId="00000129" w14:textId="77777777" w:rsidR="00EF2EEB" w:rsidRDefault="00E57539">
      <w:pPr>
        <w:spacing w:line="276" w:lineRule="auto"/>
        <w:jc w:val="both"/>
        <w:rPr>
          <w:rFonts w:ascii="Arial" w:eastAsia="Arial" w:hAnsi="Arial" w:cs="Arial"/>
        </w:rPr>
      </w:pPr>
      <w:r>
        <w:rPr>
          <w:rFonts w:ascii="Arial" w:eastAsia="Arial" w:hAnsi="Arial" w:cs="Arial"/>
          <w:b/>
          <w:bCs/>
        </w:rPr>
        <w:t>Antiguo Sistema de Registro</w:t>
      </w:r>
      <w:r>
        <w:rPr>
          <w:rFonts w:ascii="Arial" w:eastAsia="Arial" w:hAnsi="Arial" w:cs="Arial"/>
        </w:rPr>
        <w:t>: Inscripciones de actos jurídicos de propiedad inmobiliaria realizadas antes de 1970 en libros físicos (tomo, folio y partida), previas al sistema actual de matrícula inmobiliaria.</w:t>
      </w:r>
    </w:p>
    <w:p w14:paraId="0000012A" w14:textId="77777777" w:rsidR="00EF2EEB" w:rsidRDefault="00E57539">
      <w:pPr>
        <w:spacing w:line="276" w:lineRule="auto"/>
        <w:jc w:val="both"/>
        <w:rPr>
          <w:rFonts w:ascii="Arial" w:eastAsia="Arial" w:hAnsi="Arial" w:cs="Arial"/>
        </w:rPr>
      </w:pPr>
      <w:r>
        <w:rPr>
          <w:rFonts w:ascii="Arial" w:eastAsia="Arial" w:hAnsi="Arial" w:cs="Arial"/>
          <w:b/>
          <w:bCs/>
        </w:rPr>
        <w:t xml:space="preserve">Base catastral: </w:t>
      </w:r>
      <w:r>
        <w:rPr>
          <w:rFonts w:ascii="Arial" w:eastAsia="Arial" w:hAnsi="Arial" w:cs="Arial"/>
        </w:rPr>
        <w:t>Conjunto oficial de datos físicos, jurídicos y económicos de los bienes inmuebles, administrado por los gestores catastrales y reportado al Sistema Nacional de Información Catastral.</w:t>
      </w:r>
    </w:p>
    <w:p w14:paraId="0000012B" w14:textId="77777777" w:rsidR="00EF2EEB" w:rsidRDefault="00E57539">
      <w:pPr>
        <w:spacing w:line="276" w:lineRule="auto"/>
        <w:jc w:val="both"/>
        <w:rPr>
          <w:rFonts w:ascii="Arial" w:eastAsia="Arial" w:hAnsi="Arial" w:cs="Arial"/>
        </w:rPr>
      </w:pPr>
      <w:r>
        <w:rPr>
          <w:rFonts w:ascii="Arial" w:eastAsia="Arial" w:hAnsi="Arial" w:cs="Arial"/>
          <w:b/>
          <w:bCs/>
        </w:rPr>
        <w:t xml:space="preserve">Base de datos geográfica: </w:t>
      </w:r>
      <w:r>
        <w:rPr>
          <w:rFonts w:ascii="Arial" w:eastAsia="Arial" w:hAnsi="Arial" w:cs="Arial"/>
        </w:rPr>
        <w:t>Estructura digital que integra información espacial y alfanumérica de los predios, permitiendo su visualización, análisis y administración mediante herramientas SIG.</w:t>
      </w:r>
    </w:p>
    <w:p w14:paraId="0000012C" w14:textId="77777777" w:rsidR="00EF2EEB" w:rsidRDefault="00E57539">
      <w:pPr>
        <w:spacing w:line="276" w:lineRule="auto"/>
        <w:jc w:val="both"/>
        <w:rPr>
          <w:rFonts w:ascii="Arial" w:eastAsia="Arial" w:hAnsi="Arial" w:cs="Arial"/>
        </w:rPr>
      </w:pPr>
      <w:r>
        <w:rPr>
          <w:rFonts w:ascii="Arial" w:eastAsia="Arial" w:hAnsi="Arial" w:cs="Arial"/>
          <w:b/>
          <w:bCs/>
        </w:rPr>
        <w:t xml:space="preserve">Bien baldío urbano: </w:t>
      </w:r>
      <w:r>
        <w:rPr>
          <w:rFonts w:ascii="Arial" w:eastAsia="Arial" w:hAnsi="Arial" w:cs="Arial"/>
        </w:rPr>
        <w:t>Terreno ubicado en suelo urbano o de expansión urbana que no es de propiedad privada ni ha sido adjudicado, y que pertenece al municipio o distrito según lo dispuesto en la Ley 388 de 1997.</w:t>
      </w:r>
    </w:p>
    <w:p w14:paraId="0000012D" w14:textId="77777777" w:rsidR="00EF2EEB" w:rsidRDefault="00E57539">
      <w:pPr>
        <w:spacing w:line="276" w:lineRule="auto"/>
        <w:jc w:val="both"/>
        <w:rPr>
          <w:rFonts w:ascii="Arial" w:eastAsia="Arial" w:hAnsi="Arial" w:cs="Arial"/>
        </w:rPr>
      </w:pPr>
      <w:r>
        <w:rPr>
          <w:rFonts w:ascii="Arial" w:eastAsia="Arial" w:hAnsi="Arial" w:cs="Arial"/>
          <w:b/>
          <w:bCs/>
        </w:rPr>
        <w:t xml:space="preserve">Bien de uso público: </w:t>
      </w:r>
      <w:r>
        <w:rPr>
          <w:rFonts w:ascii="Arial" w:eastAsia="Arial" w:hAnsi="Arial" w:cs="Arial"/>
        </w:rPr>
        <w:t>Bien destinado al uso y disfrute común de la comunidad (calles, plazas, parques, ríos, etc.). Es inalienable, imprescriptible y no embargable mientras conserve esta condición. El Estado ejerce sobre él derechos de administración y protección.</w:t>
      </w:r>
    </w:p>
    <w:p w14:paraId="0000012E" w14:textId="77777777" w:rsidR="00EF2EEB" w:rsidRDefault="00E57539">
      <w:pPr>
        <w:spacing w:line="276" w:lineRule="auto"/>
        <w:jc w:val="both"/>
        <w:rPr>
          <w:rFonts w:ascii="Arial" w:eastAsia="Arial" w:hAnsi="Arial" w:cs="Arial"/>
        </w:rPr>
      </w:pPr>
      <w:r>
        <w:rPr>
          <w:rFonts w:ascii="Arial" w:eastAsia="Arial" w:hAnsi="Arial" w:cs="Arial"/>
          <w:b/>
          <w:bCs/>
        </w:rPr>
        <w:t xml:space="preserve">Bien fiscal: </w:t>
      </w:r>
      <w:r>
        <w:rPr>
          <w:rFonts w:ascii="Arial" w:eastAsia="Arial" w:hAnsi="Arial" w:cs="Arial"/>
        </w:rPr>
        <w:t>Bien inmueble de propiedad del Estado o de las entidades territoriales sometido al régimen del derecho común. No incluye bienes de uso público ni bienes del patrimonio cultural.</w:t>
      </w:r>
    </w:p>
    <w:p w14:paraId="0000012F" w14:textId="77777777" w:rsidR="00EF2EEB" w:rsidRDefault="00E57539">
      <w:pPr>
        <w:spacing w:line="276" w:lineRule="auto"/>
        <w:jc w:val="both"/>
        <w:rPr>
          <w:rFonts w:ascii="Arial" w:eastAsia="Arial" w:hAnsi="Arial" w:cs="Arial"/>
        </w:rPr>
      </w:pPr>
      <w:r>
        <w:rPr>
          <w:rFonts w:ascii="Arial" w:eastAsia="Arial" w:hAnsi="Arial" w:cs="Arial"/>
          <w:b/>
          <w:bCs/>
        </w:rPr>
        <w:t xml:space="preserve">Bien fiscal titulable: </w:t>
      </w:r>
      <w:r>
        <w:rPr>
          <w:rFonts w:ascii="Arial" w:eastAsia="Arial" w:hAnsi="Arial" w:cs="Arial"/>
        </w:rPr>
        <w:t>Bien fiscal ocupado ilegalmente por terceros, cuyo dominio puede ser cedido o transferido por la entidad territorial, siempre que no corresponda a espacio público ni a áreas protegidas.</w:t>
      </w:r>
    </w:p>
    <w:p w14:paraId="00000130" w14:textId="77777777" w:rsidR="00EF2EEB" w:rsidRDefault="00E57539">
      <w:pPr>
        <w:spacing w:line="276" w:lineRule="auto"/>
        <w:jc w:val="both"/>
        <w:rPr>
          <w:rFonts w:ascii="Arial" w:eastAsia="Arial" w:hAnsi="Arial" w:cs="Arial"/>
        </w:rPr>
      </w:pPr>
      <w:r>
        <w:rPr>
          <w:rFonts w:ascii="Arial" w:eastAsia="Arial" w:hAnsi="Arial" w:cs="Arial"/>
          <w:b/>
          <w:bCs/>
        </w:rPr>
        <w:t xml:space="preserve">Catastro: </w:t>
      </w:r>
      <w:r>
        <w:rPr>
          <w:rFonts w:ascii="Arial" w:eastAsia="Arial" w:hAnsi="Arial" w:cs="Arial"/>
        </w:rPr>
        <w:t>Inventario actualizado de los bienes inmuebles del territorio nacional, que identifica sus características físicas, jurídicas y económicas con criterios técnicos y objetivos.</w:t>
      </w:r>
    </w:p>
    <w:p w14:paraId="00000131" w14:textId="77777777" w:rsidR="00EF2EEB" w:rsidRDefault="00E57539">
      <w:pPr>
        <w:jc w:val="both"/>
        <w:rPr>
          <w:rFonts w:ascii="Arial" w:eastAsia="Arial" w:hAnsi="Arial" w:cs="Arial"/>
        </w:rPr>
      </w:pPr>
      <w:r>
        <w:rPr>
          <w:rFonts w:ascii="Arial" w:eastAsia="Arial" w:hAnsi="Arial" w:cs="Arial"/>
          <w:b/>
          <w:bCs/>
        </w:rPr>
        <w:t xml:space="preserve">Clase (en un SIG): </w:t>
      </w:r>
      <w:r>
        <w:rPr>
          <w:rFonts w:ascii="Arial" w:eastAsia="Arial" w:hAnsi="Arial" w:cs="Arial"/>
        </w:rPr>
        <w:t>Conjunto de datos que agrupa objetos con características similares dentro de una base geográfica, como predios, construcciones o áreas de uso público.</w:t>
      </w:r>
    </w:p>
    <w:p w14:paraId="00000132" w14:textId="77777777" w:rsidR="00EF2EEB" w:rsidRDefault="00E57539">
      <w:pPr>
        <w:jc w:val="both"/>
        <w:rPr>
          <w:rFonts w:ascii="Arial" w:eastAsia="Arial" w:hAnsi="Arial" w:cs="Arial"/>
        </w:rPr>
      </w:pPr>
      <w:r>
        <w:rPr>
          <w:rFonts w:ascii="Arial" w:eastAsia="Arial" w:hAnsi="Arial" w:cs="Arial"/>
          <w:b/>
          <w:bCs/>
        </w:rPr>
        <w:lastRenderedPageBreak/>
        <w:t>Clasificación preliminar del predio</w:t>
      </w:r>
      <w:r>
        <w:rPr>
          <w:rFonts w:ascii="Arial" w:eastAsia="Arial" w:hAnsi="Arial" w:cs="Arial"/>
        </w:rPr>
        <w:t>: Categorización inicial del inmueble según su naturaleza (uso público, fiscal, baldío o privado), basada en la información disponible. No constituye una determinación jurídica definitiva.</w:t>
      </w:r>
    </w:p>
    <w:p w14:paraId="00000133" w14:textId="77777777" w:rsidR="00EF2EEB" w:rsidRDefault="00E57539">
      <w:pPr>
        <w:jc w:val="both"/>
        <w:rPr>
          <w:rFonts w:ascii="Arial" w:eastAsia="Arial" w:hAnsi="Arial" w:cs="Arial"/>
        </w:rPr>
      </w:pPr>
      <w:r>
        <w:rPr>
          <w:rFonts w:ascii="Arial" w:eastAsia="Arial" w:hAnsi="Arial" w:cs="Arial"/>
          <w:b/>
          <w:bCs/>
        </w:rPr>
        <w:t xml:space="preserve">Clasificación del suelo: </w:t>
      </w:r>
      <w:r>
        <w:rPr>
          <w:rFonts w:ascii="Arial" w:eastAsia="Arial" w:hAnsi="Arial" w:cs="Arial"/>
        </w:rPr>
        <w:t>Determinación del suelo como urbano, de expansión urbana, rural, suburbano o de protección, según lo definido en el Plan de Ordenamiento Territorial vigente.</w:t>
      </w:r>
    </w:p>
    <w:p w14:paraId="00000134" w14:textId="77777777" w:rsidR="00EF2EEB" w:rsidRDefault="00E57539">
      <w:pPr>
        <w:jc w:val="both"/>
        <w:rPr>
          <w:rFonts w:ascii="Arial" w:eastAsia="Arial" w:hAnsi="Arial" w:cs="Arial"/>
        </w:rPr>
      </w:pPr>
      <w:r>
        <w:rPr>
          <w:rFonts w:ascii="Arial" w:eastAsia="Arial" w:hAnsi="Arial" w:cs="Arial"/>
          <w:b/>
          <w:bCs/>
        </w:rPr>
        <w:t xml:space="preserve">Clasificación_Suelo (atributo): </w:t>
      </w:r>
      <w:r>
        <w:rPr>
          <w:rFonts w:ascii="Arial" w:eastAsia="Arial" w:hAnsi="Arial" w:cs="Arial"/>
        </w:rPr>
        <w:t>Atributo del inventario que identifica si el predio se encuentra en suelo urbano, rural o de expansión urbana, conforme al instrumento de ordenamiento territorial.</w:t>
      </w:r>
    </w:p>
    <w:p w14:paraId="00000135" w14:textId="77777777" w:rsidR="00EF2EEB" w:rsidRDefault="00E57539">
      <w:pPr>
        <w:jc w:val="both"/>
        <w:rPr>
          <w:rFonts w:ascii="Arial" w:eastAsia="Arial" w:hAnsi="Arial" w:cs="Arial"/>
        </w:rPr>
      </w:pPr>
      <w:r>
        <w:rPr>
          <w:rFonts w:ascii="Arial" w:eastAsia="Arial" w:hAnsi="Arial" w:cs="Arial"/>
          <w:b/>
          <w:bCs/>
        </w:rPr>
        <w:t xml:space="preserve">Construcción: </w:t>
      </w:r>
      <w:r>
        <w:rPr>
          <w:rFonts w:ascii="Arial" w:eastAsia="Arial" w:hAnsi="Arial" w:cs="Arial"/>
        </w:rPr>
        <w:t>Estructura adherida de manera permanente al terreno, independientemente del material, ubicación o actividad económica asociada.</w:t>
      </w:r>
    </w:p>
    <w:p w14:paraId="00000136" w14:textId="77777777" w:rsidR="00EF2EEB" w:rsidRDefault="00E57539">
      <w:pPr>
        <w:jc w:val="both"/>
        <w:rPr>
          <w:rFonts w:ascii="Arial" w:eastAsia="Arial" w:hAnsi="Arial" w:cs="Arial"/>
        </w:rPr>
      </w:pPr>
      <w:r>
        <w:rPr>
          <w:rFonts w:ascii="Arial" w:eastAsia="Arial" w:hAnsi="Arial" w:cs="Arial"/>
          <w:b/>
          <w:bCs/>
        </w:rPr>
        <w:t xml:space="preserve">Gestores catastrales: </w:t>
      </w:r>
      <w:r>
        <w:rPr>
          <w:rFonts w:ascii="Arial" w:eastAsia="Arial" w:hAnsi="Arial" w:cs="Arial"/>
        </w:rPr>
        <w:t>Entidades públicas habilitadas por el IGAC para administrar la función catastral en una jurisdicción, incluyendo catastros descentralizados y la Agencia Nacional de Tierras.</w:t>
      </w:r>
    </w:p>
    <w:p w14:paraId="00000137" w14:textId="77777777" w:rsidR="00EF2EEB" w:rsidRDefault="00E57539">
      <w:pPr>
        <w:jc w:val="both"/>
        <w:rPr>
          <w:rFonts w:ascii="Arial" w:eastAsia="Arial" w:hAnsi="Arial" w:cs="Arial"/>
        </w:rPr>
      </w:pPr>
      <w:r>
        <w:rPr>
          <w:rFonts w:ascii="Arial" w:eastAsia="Arial" w:hAnsi="Arial" w:cs="Arial"/>
          <w:b/>
          <w:bCs/>
        </w:rPr>
        <w:t xml:space="preserve">Información catastral: </w:t>
      </w:r>
      <w:r>
        <w:rPr>
          <w:rFonts w:ascii="Arial" w:eastAsia="Arial" w:hAnsi="Arial" w:cs="Arial"/>
        </w:rPr>
        <w:t>Datos físicos, jurídicos y económicos que describen un inmueble. Incluye geometría, linderos, construcciones, relación jurídica y avalúo catastral.</w:t>
      </w:r>
    </w:p>
    <w:p w14:paraId="00000138" w14:textId="0D154671" w:rsidR="00EF2EEB" w:rsidRDefault="00E57539">
      <w:pPr>
        <w:jc w:val="both"/>
        <w:rPr>
          <w:rFonts w:ascii="Arial" w:eastAsia="Arial" w:hAnsi="Arial" w:cs="Arial"/>
        </w:rPr>
      </w:pPr>
      <w:r>
        <w:rPr>
          <w:rFonts w:ascii="Arial" w:eastAsia="Arial" w:hAnsi="Arial" w:cs="Arial"/>
          <w:b/>
          <w:bCs/>
        </w:rPr>
        <w:t xml:space="preserve">Inventario </w:t>
      </w:r>
      <w:r w:rsidR="006C1FB1">
        <w:rPr>
          <w:rFonts w:ascii="Arial" w:eastAsia="Arial" w:hAnsi="Arial" w:cs="Arial"/>
          <w:b/>
          <w:bCs/>
        </w:rPr>
        <w:t>Municipal Inmobiliario</w:t>
      </w:r>
      <w:r>
        <w:rPr>
          <w:rFonts w:ascii="Arial" w:eastAsia="Arial" w:hAnsi="Arial" w:cs="Arial"/>
          <w:b/>
          <w:bCs/>
        </w:rPr>
        <w:t xml:space="preserve">: </w:t>
      </w:r>
      <w:r>
        <w:rPr>
          <w:rFonts w:ascii="Arial" w:eastAsia="Arial" w:hAnsi="Arial" w:cs="Arial"/>
        </w:rPr>
        <w:t>Conjunto organizado de bienes inmuebles de propiedad, administración o responsabilidad del municipio, estructurado para su gestión, control y toma de decisiones.</w:t>
      </w:r>
    </w:p>
    <w:p w14:paraId="00000139" w14:textId="77777777" w:rsidR="00EF2EEB" w:rsidRDefault="00E57539">
      <w:pPr>
        <w:jc w:val="both"/>
        <w:rPr>
          <w:rFonts w:ascii="Arial" w:eastAsia="Arial" w:hAnsi="Arial" w:cs="Arial"/>
        </w:rPr>
      </w:pPr>
      <w:r>
        <w:rPr>
          <w:rFonts w:ascii="Arial" w:eastAsia="Arial" w:hAnsi="Arial" w:cs="Arial"/>
          <w:b/>
          <w:bCs/>
        </w:rPr>
        <w:t xml:space="preserve">Matrícula inmobiliaria: </w:t>
      </w:r>
      <w:r>
        <w:rPr>
          <w:rFonts w:ascii="Arial" w:eastAsia="Arial" w:hAnsi="Arial" w:cs="Arial"/>
        </w:rPr>
        <w:t>Identificador único de cada inmueble en el sistema registral, que señala la oficina de registro y los actos jurídicos asociados al bien.</w:t>
      </w:r>
    </w:p>
    <w:p w14:paraId="0000013A" w14:textId="77777777" w:rsidR="00EF2EEB" w:rsidRDefault="00E57539">
      <w:pPr>
        <w:jc w:val="both"/>
        <w:rPr>
          <w:rFonts w:ascii="Arial" w:eastAsia="Arial" w:hAnsi="Arial" w:cs="Arial"/>
        </w:rPr>
      </w:pPr>
      <w:r>
        <w:rPr>
          <w:rFonts w:ascii="Arial" w:eastAsia="Arial" w:hAnsi="Arial" w:cs="Arial"/>
          <w:b/>
          <w:bCs/>
        </w:rPr>
        <w:t xml:space="preserve">Modelo LADM_COL: </w:t>
      </w:r>
      <w:r>
        <w:rPr>
          <w:rFonts w:ascii="Arial" w:eastAsia="Arial" w:hAnsi="Arial" w:cs="Arial"/>
        </w:rPr>
        <w:t>Estándar nacional que define la estructura mínima para representar información catastral y registral, permitiendo interoperabilidad entre sistemas.</w:t>
      </w:r>
    </w:p>
    <w:p w14:paraId="0000013B" w14:textId="77777777" w:rsidR="00EF2EEB" w:rsidRDefault="00E57539">
      <w:pPr>
        <w:spacing w:line="276" w:lineRule="auto"/>
        <w:jc w:val="both"/>
        <w:rPr>
          <w:rFonts w:ascii="Arial" w:eastAsia="Arial" w:hAnsi="Arial" w:cs="Arial"/>
        </w:rPr>
      </w:pPr>
      <w:r>
        <w:rPr>
          <w:rFonts w:ascii="Arial" w:eastAsia="Arial" w:hAnsi="Arial" w:cs="Arial"/>
          <w:b/>
          <w:bCs/>
        </w:rPr>
        <w:t xml:space="preserve">Número Predial Nacional: </w:t>
      </w:r>
      <w:r>
        <w:rPr>
          <w:rFonts w:ascii="Arial" w:eastAsia="Arial" w:hAnsi="Arial" w:cs="Arial"/>
        </w:rPr>
        <w:t>Código único de 30 dígitos que identifica cada predio en el país y facilita su gestión catastral y registral.</w:t>
      </w:r>
    </w:p>
    <w:p w14:paraId="0000013C" w14:textId="77777777" w:rsidR="00EF2EEB" w:rsidRDefault="00E57539">
      <w:pPr>
        <w:spacing w:line="276" w:lineRule="auto"/>
        <w:jc w:val="both"/>
        <w:rPr>
          <w:rFonts w:ascii="Arial" w:eastAsia="Arial" w:hAnsi="Arial" w:cs="Arial"/>
        </w:rPr>
      </w:pPr>
      <w:r>
        <w:rPr>
          <w:rFonts w:ascii="Arial" w:eastAsia="Arial" w:hAnsi="Arial" w:cs="Arial"/>
          <w:b/>
          <w:bCs/>
        </w:rPr>
        <w:t xml:space="preserve">Patrimonio público: </w:t>
      </w:r>
      <w:r>
        <w:rPr>
          <w:rFonts w:ascii="Arial" w:eastAsia="Arial" w:hAnsi="Arial" w:cs="Arial"/>
        </w:rPr>
        <w:t>Conjunto de bienes, derechos y obligaciones del Estado destinados al cumplimiento de sus funciones.</w:t>
      </w:r>
    </w:p>
    <w:p w14:paraId="0000013D" w14:textId="77777777" w:rsidR="00EF2EEB" w:rsidRDefault="00E57539">
      <w:pPr>
        <w:spacing w:line="276" w:lineRule="auto"/>
        <w:jc w:val="both"/>
        <w:rPr>
          <w:rFonts w:ascii="Arial" w:eastAsia="Arial" w:hAnsi="Arial" w:cs="Arial"/>
        </w:rPr>
      </w:pPr>
      <w:r>
        <w:rPr>
          <w:rFonts w:ascii="Arial" w:eastAsia="Arial" w:hAnsi="Arial" w:cs="Arial"/>
          <w:b/>
          <w:bCs/>
        </w:rPr>
        <w:lastRenderedPageBreak/>
        <w:t xml:space="preserve">Presunto baldío: </w:t>
      </w:r>
      <w:r>
        <w:rPr>
          <w:rFonts w:ascii="Arial" w:eastAsia="Arial" w:hAnsi="Arial" w:cs="Arial"/>
        </w:rPr>
        <w:t>Predio sin identificación jurídica válida o sin registro de dominio, respecto del cual se presume la naturaleza de baldío hasta que se demuestre lo contrario.</w:t>
      </w:r>
    </w:p>
    <w:p w14:paraId="0000013E" w14:textId="77777777" w:rsidR="00EF2EEB" w:rsidRDefault="00E57539">
      <w:pPr>
        <w:spacing w:line="276" w:lineRule="auto"/>
        <w:jc w:val="both"/>
        <w:rPr>
          <w:rFonts w:ascii="Arial" w:eastAsia="Arial" w:hAnsi="Arial" w:cs="Arial"/>
        </w:rPr>
      </w:pPr>
      <w:r>
        <w:rPr>
          <w:rFonts w:ascii="Arial" w:eastAsia="Arial" w:hAnsi="Arial" w:cs="Arial"/>
          <w:b/>
          <w:bCs/>
        </w:rPr>
        <w:t xml:space="preserve">Plan de Ordenamiento Territorial (POT): </w:t>
      </w:r>
      <w:r>
        <w:rPr>
          <w:rFonts w:ascii="Arial" w:eastAsia="Arial" w:hAnsi="Arial" w:cs="Arial"/>
        </w:rPr>
        <w:t>Instrumento que orienta el desarrollo físico del territorio municipal mediante objetivos, políticas, normas y delimitaciones del suelo.</w:t>
      </w:r>
    </w:p>
    <w:p w14:paraId="0000013F" w14:textId="77777777" w:rsidR="00EF2EEB" w:rsidRDefault="00E57539">
      <w:pPr>
        <w:spacing w:line="276" w:lineRule="auto"/>
        <w:jc w:val="both"/>
        <w:rPr>
          <w:rFonts w:ascii="Arial" w:eastAsia="Arial" w:hAnsi="Arial" w:cs="Arial"/>
        </w:rPr>
      </w:pPr>
      <w:r>
        <w:rPr>
          <w:rFonts w:ascii="Arial" w:eastAsia="Arial" w:hAnsi="Arial" w:cs="Arial"/>
          <w:b/>
          <w:bCs/>
        </w:rPr>
        <w:t xml:space="preserve">Ruta de saneamiento: </w:t>
      </w:r>
      <w:r>
        <w:rPr>
          <w:rFonts w:ascii="Arial" w:eastAsia="Arial" w:hAnsi="Arial" w:cs="Arial"/>
        </w:rPr>
        <w:t>Procedimiento técnico-jurídico aplicable a un predio según su situación física, jurídica y administrativa, definido en las cartillas del KIT Ciudata+.</w:t>
      </w:r>
    </w:p>
    <w:p w14:paraId="00000140" w14:textId="77777777" w:rsidR="00EF2EEB" w:rsidRDefault="00E57539">
      <w:pPr>
        <w:spacing w:line="276" w:lineRule="auto"/>
        <w:jc w:val="both"/>
        <w:rPr>
          <w:rFonts w:ascii="Arial" w:eastAsia="Arial" w:hAnsi="Arial" w:cs="Arial"/>
        </w:rPr>
      </w:pPr>
      <w:r>
        <w:rPr>
          <w:rFonts w:ascii="Arial" w:eastAsia="Arial" w:hAnsi="Arial" w:cs="Arial"/>
          <w:b/>
          <w:bCs/>
        </w:rPr>
        <w:t xml:space="preserve">SIG (Sistema de Información Geográfica): </w:t>
      </w:r>
      <w:r>
        <w:rPr>
          <w:rFonts w:ascii="Arial" w:eastAsia="Arial" w:hAnsi="Arial" w:cs="Arial"/>
        </w:rPr>
        <w:t>Conjunto de herramientas que permiten capturar, almacenar, analizar y visualizar información georreferenciada para la gestión territorial.</w:t>
      </w:r>
    </w:p>
    <w:p w14:paraId="00000141" w14:textId="77777777" w:rsidR="00EF2EEB" w:rsidRDefault="00E57539">
      <w:pPr>
        <w:spacing w:line="276" w:lineRule="auto"/>
        <w:jc w:val="both"/>
        <w:rPr>
          <w:rFonts w:ascii="Arial" w:eastAsia="Arial" w:hAnsi="Arial" w:cs="Arial"/>
        </w:rPr>
      </w:pPr>
      <w:r>
        <w:rPr>
          <w:rFonts w:ascii="Arial" w:eastAsia="Arial" w:hAnsi="Arial" w:cs="Arial"/>
          <w:b/>
          <w:bCs/>
        </w:rPr>
        <w:t xml:space="preserve">Suelo rural: </w:t>
      </w:r>
      <w:r>
        <w:rPr>
          <w:rFonts w:ascii="Arial" w:eastAsia="Arial" w:hAnsi="Arial" w:cs="Arial"/>
        </w:rPr>
        <w:t>Terrenos destinados a actividades agrícolas, ganaderas, forestales o de explotación de recursos naturales, no aptos para uso urbano.</w:t>
      </w:r>
    </w:p>
    <w:p w14:paraId="00000142" w14:textId="77777777" w:rsidR="00EF2EEB" w:rsidRDefault="00E57539">
      <w:pPr>
        <w:spacing w:line="276" w:lineRule="auto"/>
        <w:jc w:val="both"/>
        <w:rPr>
          <w:rFonts w:ascii="Arial" w:eastAsia="Arial" w:hAnsi="Arial" w:cs="Arial"/>
        </w:rPr>
      </w:pPr>
      <w:r>
        <w:rPr>
          <w:rFonts w:ascii="Arial" w:eastAsia="Arial" w:hAnsi="Arial" w:cs="Arial"/>
          <w:b/>
          <w:bCs/>
        </w:rPr>
        <w:t xml:space="preserve">Suelo urbano: </w:t>
      </w:r>
      <w:r>
        <w:rPr>
          <w:rFonts w:ascii="Arial" w:eastAsia="Arial" w:hAnsi="Arial" w:cs="Arial"/>
        </w:rPr>
        <w:t>Áreas definidas por el POT como aptas para usos urbanos y que cuentan con infraestructura vial y redes primarias de servicios públicos.</w:t>
      </w:r>
    </w:p>
    <w:p w14:paraId="00000143" w14:textId="77777777" w:rsidR="00EF2EEB" w:rsidRDefault="00E57539">
      <w:pPr>
        <w:jc w:val="both"/>
        <w:rPr>
          <w:rFonts w:ascii="Arial" w:eastAsia="Arial" w:hAnsi="Arial" w:cs="Arial"/>
        </w:rPr>
      </w:pPr>
      <w:r>
        <w:rPr>
          <w:rFonts w:ascii="Arial" w:eastAsia="Arial" w:hAnsi="Arial" w:cs="Arial"/>
          <w:b/>
          <w:bCs/>
        </w:rPr>
        <w:t xml:space="preserve">Tipo_Predio (atributo): </w:t>
      </w:r>
      <w:r>
        <w:rPr>
          <w:rFonts w:ascii="Arial" w:eastAsia="Arial" w:hAnsi="Arial" w:cs="Arial"/>
        </w:rPr>
        <w:t>Atributo del inventario que identifica la naturaleza del bien (Uso Público, Fiscal Patrimonial, Baldío, Presunto Baldío o Privado), según la estructura Ciudata+.</w:t>
      </w:r>
    </w:p>
    <w:p w14:paraId="00000144" w14:textId="77777777" w:rsidR="00EF2EEB" w:rsidRDefault="00E57539">
      <w:pPr>
        <w:jc w:val="both"/>
        <w:rPr>
          <w:rFonts w:ascii="Arial" w:eastAsia="Arial" w:hAnsi="Arial" w:cs="Arial"/>
        </w:rPr>
      </w:pPr>
      <w:r>
        <w:rPr>
          <w:rFonts w:ascii="Arial" w:eastAsia="Arial" w:hAnsi="Arial" w:cs="Arial"/>
          <w:b/>
          <w:bCs/>
        </w:rPr>
        <w:t>UML (Lenguaje Unificado de Modelado):</w:t>
      </w:r>
      <w:r>
        <w:rPr>
          <w:rFonts w:ascii="Arial" w:eastAsia="Arial" w:hAnsi="Arial" w:cs="Arial"/>
        </w:rPr>
        <w:t xml:space="preserve"> Lenguaje visual que permite representar la estructura y relaciones de la información dentro de un sistema, útil para diseñar bases de datos geográficas.</w:t>
      </w:r>
    </w:p>
    <w:p w14:paraId="00000145" w14:textId="77777777" w:rsidR="00EF2EEB" w:rsidRDefault="00E57539">
      <w:pPr>
        <w:jc w:val="both"/>
        <w:rPr>
          <w:rFonts w:ascii="Arial" w:eastAsia="Arial" w:hAnsi="Arial" w:cs="Arial"/>
        </w:rPr>
      </w:pPr>
      <w:r>
        <w:rPr>
          <w:rFonts w:ascii="Arial" w:eastAsia="Arial" w:hAnsi="Arial" w:cs="Arial"/>
          <w:b/>
          <w:bCs/>
        </w:rPr>
        <w:t>xtf:</w:t>
      </w:r>
      <w:r>
        <w:rPr>
          <w:rFonts w:ascii="Arial" w:eastAsia="Arial" w:hAnsi="Arial" w:cs="Arial"/>
        </w:rPr>
        <w:t xml:space="preserve"> Formato estándar de intercambio de datos catastrales basado en INTERLIS, utilizado para importar, validar y exportar información conforme al modelo LADM_COL.</w:t>
      </w:r>
    </w:p>
    <w:p w14:paraId="00000146" w14:textId="77777777" w:rsidR="00EF2EEB" w:rsidRDefault="00EF2EEB">
      <w:pPr>
        <w:pStyle w:val="Ttulo1"/>
        <w:jc w:val="center"/>
        <w:rPr>
          <w:rFonts w:ascii="Arial Narrow" w:eastAsia="Arial Narrow" w:hAnsi="Arial Narrow" w:cs="Arial Narrow"/>
          <w:b/>
          <w:bCs/>
          <w:color w:val="000000"/>
          <w:sz w:val="32"/>
          <w:szCs w:val="32"/>
        </w:rPr>
      </w:pPr>
      <w:bookmarkStart w:id="57" w:name="_heading=h.mmqmo9qz6sgh" w:colFirst="0" w:colLast="0"/>
      <w:bookmarkEnd w:id="57"/>
    </w:p>
    <w:p w14:paraId="00000147" w14:textId="77777777" w:rsidR="00EF2EEB" w:rsidRDefault="00EF2EEB"/>
    <w:p w14:paraId="00000148" w14:textId="77777777" w:rsidR="00EF2EEB" w:rsidRDefault="00EF2EEB"/>
    <w:p w14:paraId="00000149" w14:textId="77777777" w:rsidR="00EF2EEB" w:rsidRDefault="00EF2EEB"/>
    <w:p w14:paraId="0000014A" w14:textId="77777777" w:rsidR="00EF2EEB" w:rsidRDefault="00EF2EEB">
      <w:pPr>
        <w:rPr>
          <w:rFonts w:ascii="Arial Narrow" w:eastAsia="Arial Narrow" w:hAnsi="Arial Narrow" w:cs="Arial Narrow"/>
          <w:b/>
          <w:bCs/>
        </w:rPr>
      </w:pPr>
    </w:p>
    <w:p w14:paraId="2ECB7382" w14:textId="5289C6EC" w:rsidR="00BA693C" w:rsidRPr="00BA693C" w:rsidRDefault="00BA693C" w:rsidP="00BA693C">
      <w:pPr>
        <w:pStyle w:val="Ttulo1"/>
        <w:jc w:val="center"/>
        <w:rPr>
          <w:rFonts w:ascii="Arial" w:hAnsi="Arial" w:cs="Arial"/>
          <w:b/>
          <w:bCs/>
          <w:color w:val="auto"/>
          <w:sz w:val="24"/>
          <w:szCs w:val="24"/>
        </w:rPr>
      </w:pPr>
      <w:bookmarkStart w:id="58" w:name="_Toc228874223"/>
      <w:r w:rsidRPr="00BA693C">
        <w:rPr>
          <w:rFonts w:ascii="Arial" w:hAnsi="Arial" w:cs="Arial"/>
          <w:b/>
          <w:bCs/>
          <w:color w:val="auto"/>
          <w:sz w:val="24"/>
          <w:szCs w:val="24"/>
        </w:rPr>
        <w:lastRenderedPageBreak/>
        <w:t>Anexos</w:t>
      </w:r>
      <w:bookmarkEnd w:id="58"/>
    </w:p>
    <w:p w14:paraId="7F084141" w14:textId="77777777" w:rsidR="00BA693C" w:rsidRDefault="00BA693C">
      <w:pPr>
        <w:jc w:val="center"/>
        <w:rPr>
          <w:rFonts w:ascii="Arial" w:eastAsia="Arial" w:hAnsi="Arial" w:cs="Arial"/>
          <w:b/>
          <w:bCs/>
        </w:rPr>
      </w:pPr>
    </w:p>
    <w:p w14:paraId="0000014B" w14:textId="4E1B0E81" w:rsidR="00EF2EEB" w:rsidRDefault="00E57539">
      <w:pPr>
        <w:jc w:val="center"/>
        <w:rPr>
          <w:rFonts w:ascii="Arial" w:eastAsia="Arial" w:hAnsi="Arial" w:cs="Arial"/>
          <w:b/>
          <w:bCs/>
        </w:rPr>
      </w:pPr>
      <w:r>
        <w:rPr>
          <w:rFonts w:ascii="Arial" w:eastAsia="Arial" w:hAnsi="Arial" w:cs="Arial"/>
          <w:b/>
          <w:bCs/>
        </w:rPr>
        <w:t xml:space="preserve">Anexo 1.  Marco normativo </w:t>
      </w:r>
    </w:p>
    <w:p w14:paraId="0000014D" w14:textId="7EC768C0" w:rsidR="00EF2EEB" w:rsidRDefault="00E57539">
      <w:pPr>
        <w:spacing w:before="280" w:after="0" w:line="240" w:lineRule="auto"/>
        <w:jc w:val="both"/>
        <w:rPr>
          <w:rFonts w:ascii="Arial" w:eastAsia="Arial" w:hAnsi="Arial" w:cs="Arial"/>
        </w:rPr>
      </w:pPr>
      <w:r>
        <w:rPr>
          <w:rFonts w:ascii="Arial" w:eastAsia="Arial" w:hAnsi="Arial" w:cs="Arial"/>
        </w:rPr>
        <w:t xml:space="preserve">El Inventario </w:t>
      </w:r>
      <w:r w:rsidR="0031227A">
        <w:rPr>
          <w:rFonts w:ascii="Arial" w:eastAsia="Arial" w:hAnsi="Arial" w:cs="Arial"/>
        </w:rPr>
        <w:t xml:space="preserve">Municipal de Inmuebles </w:t>
      </w:r>
      <w:r>
        <w:rPr>
          <w:rFonts w:ascii="Arial" w:eastAsia="Arial" w:hAnsi="Arial" w:cs="Arial"/>
        </w:rPr>
        <w:t xml:space="preserve">se sustenta en un sólido marco constitucional, legal y reglamentario que obliga a las entidades territoriales a identificar, registrar, administrar y proteger sus bienes. </w:t>
      </w:r>
    </w:p>
    <w:p w14:paraId="0000014E" w14:textId="77777777" w:rsidR="00EF2EEB" w:rsidRDefault="00E57539">
      <w:pPr>
        <w:spacing w:before="280" w:after="0" w:line="240" w:lineRule="auto"/>
        <w:jc w:val="both"/>
        <w:rPr>
          <w:rFonts w:ascii="Arial" w:eastAsia="Arial" w:hAnsi="Arial" w:cs="Arial"/>
        </w:rPr>
      </w:pPr>
      <w:r>
        <w:rPr>
          <w:rFonts w:ascii="Arial" w:eastAsia="Arial" w:hAnsi="Arial" w:cs="Arial"/>
        </w:rPr>
        <w:t>La Constitución Política establece la propiedad pública de los bienes (art. 102), los principios de eficiencia, transparencia y control en la función administrativa (arts. 209 y 269) y la autonomía territorial para la gestión patrimonial (art. 287).</w:t>
      </w:r>
    </w:p>
    <w:p w14:paraId="0000014F" w14:textId="77777777" w:rsidR="00EF2EEB" w:rsidRDefault="00E57539">
      <w:pPr>
        <w:spacing w:before="280" w:after="0" w:line="240" w:lineRule="auto"/>
        <w:jc w:val="both"/>
        <w:rPr>
          <w:rFonts w:ascii="Arial" w:eastAsia="Arial" w:hAnsi="Arial" w:cs="Arial"/>
        </w:rPr>
      </w:pPr>
      <w:r>
        <w:rPr>
          <w:rFonts w:ascii="Arial" w:eastAsia="Arial" w:hAnsi="Arial" w:cs="Arial"/>
        </w:rPr>
        <w:t xml:space="preserve"> El Código Civil define la naturaleza y clasificación de los bienes públicos y fiscales (arts. 674 a 676), determinando su régimen jurídico. A su vez, leyes como la Ley 136 de 1994, Ley 87 de 1993, Ley 489 de 1998, Ley 617 de 2000, Ley 708 de 2001, Ley 388 de 1997, Ley 734 de 2002 y Ley 2044 de 2020 imponen deberes explícitos de administración, control, saneamiento, custodia y registro actualizado del patrimonio municipal. </w:t>
      </w:r>
    </w:p>
    <w:p w14:paraId="00000150" w14:textId="622F0867" w:rsidR="00EF2EEB" w:rsidRDefault="00E57539">
      <w:pPr>
        <w:spacing w:before="280" w:after="0" w:line="240" w:lineRule="auto"/>
        <w:jc w:val="both"/>
        <w:rPr>
          <w:rFonts w:ascii="Arial" w:eastAsia="Arial" w:hAnsi="Arial" w:cs="Arial"/>
        </w:rPr>
      </w:pPr>
      <w:r>
        <w:rPr>
          <w:rFonts w:ascii="Arial" w:eastAsia="Arial" w:hAnsi="Arial" w:cs="Arial"/>
        </w:rPr>
        <w:t>Este marco se complementa con normas reglamentarias como el Decreto 4054 de 2011 y las Resoluciones 743 de 2013 y 1040 de 2023, que exigen la conciliación del inventario  con la información contable y catastral, consolidando al inventario como un instrumento obligatorio de control interno, gestión fiscal y transparencia en la administración municipal.</w:t>
      </w:r>
    </w:p>
    <w:p w14:paraId="00000151" w14:textId="77777777" w:rsidR="00EF2EEB" w:rsidRDefault="00E57539">
      <w:pPr>
        <w:spacing w:before="280" w:after="0" w:line="240" w:lineRule="auto"/>
        <w:jc w:val="both"/>
        <w:rPr>
          <w:rFonts w:ascii="Arial" w:eastAsia="Arial" w:hAnsi="Arial" w:cs="Arial"/>
        </w:rPr>
      </w:pPr>
      <w:r>
        <w:rPr>
          <w:rFonts w:ascii="Arial" w:eastAsia="Arial" w:hAnsi="Arial" w:cs="Arial"/>
        </w:rPr>
        <w:t>Se anexa listado de normatividad aplicable.</w:t>
      </w:r>
    </w:p>
    <w:p w14:paraId="00000152" w14:textId="77777777" w:rsidR="00EF2EEB" w:rsidRDefault="00EF2EEB">
      <w:pPr>
        <w:jc w:val="center"/>
        <w:rPr>
          <w:rFonts w:ascii="Arial" w:eastAsia="Arial" w:hAnsi="Arial" w:cs="Arial"/>
          <w:b/>
          <w:bCs/>
        </w:rPr>
      </w:pPr>
    </w:p>
    <w:p w14:paraId="00000153" w14:textId="5074B41E" w:rsidR="00EF2EEB" w:rsidRDefault="00E57539">
      <w:pPr>
        <w:spacing w:after="0" w:line="276" w:lineRule="auto"/>
        <w:jc w:val="center"/>
        <w:rPr>
          <w:rFonts w:ascii="Arial" w:eastAsia="Arial" w:hAnsi="Arial" w:cs="Arial"/>
          <w:b/>
          <w:bCs/>
          <w:sz w:val="22"/>
          <w:szCs w:val="22"/>
        </w:rPr>
      </w:pPr>
      <w:r>
        <w:rPr>
          <w:rFonts w:ascii="Arial" w:eastAsia="Arial" w:hAnsi="Arial" w:cs="Arial"/>
          <w:b/>
          <w:bCs/>
        </w:rPr>
        <w:t>T</w:t>
      </w:r>
      <w:r>
        <w:rPr>
          <w:rFonts w:ascii="Arial" w:eastAsia="Arial" w:hAnsi="Arial" w:cs="Arial"/>
          <w:b/>
          <w:bCs/>
          <w:sz w:val="22"/>
          <w:szCs w:val="22"/>
        </w:rPr>
        <w:t xml:space="preserve">abla N° </w:t>
      </w:r>
      <w:r w:rsidR="00090DA3">
        <w:rPr>
          <w:rFonts w:ascii="Arial" w:eastAsia="Arial" w:hAnsi="Arial" w:cs="Arial"/>
          <w:b/>
          <w:bCs/>
          <w:sz w:val="22"/>
          <w:szCs w:val="22"/>
        </w:rPr>
        <w:t>5</w:t>
      </w:r>
      <w:r>
        <w:rPr>
          <w:rFonts w:ascii="Arial" w:eastAsia="Arial" w:hAnsi="Arial" w:cs="Arial"/>
          <w:b/>
          <w:bCs/>
          <w:sz w:val="22"/>
          <w:szCs w:val="22"/>
        </w:rPr>
        <w:t xml:space="preserve"> Disposiciones legales que regulan los bienes inmuebles públicos en los municipios</w:t>
      </w:r>
    </w:p>
    <w:p w14:paraId="00000154" w14:textId="77777777" w:rsidR="00EF2EEB" w:rsidRDefault="00EF2EEB">
      <w:pPr>
        <w:spacing w:after="0" w:line="276" w:lineRule="auto"/>
        <w:jc w:val="center"/>
        <w:rPr>
          <w:rFonts w:ascii="Arial" w:eastAsia="Arial" w:hAnsi="Arial" w:cs="Arial"/>
          <w:b/>
          <w:bCs/>
          <w:sz w:val="22"/>
          <w:szCs w:val="22"/>
        </w:rPr>
      </w:pPr>
    </w:p>
    <w:tbl>
      <w:tblPr>
        <w:tblStyle w:val="a6"/>
        <w:tblW w:w="886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80"/>
        <w:gridCol w:w="4439"/>
        <w:gridCol w:w="3346"/>
      </w:tblGrid>
      <w:tr w:rsidR="00EF2EEB" w14:paraId="14453236" w14:textId="77777777">
        <w:trPr>
          <w:trHeight w:val="285"/>
          <w:jc w:val="center"/>
        </w:trPr>
        <w:tc>
          <w:tcPr>
            <w:tcW w:w="8865"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tcPr>
          <w:p w14:paraId="00000155"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Constitución Política </w:t>
            </w:r>
          </w:p>
          <w:p w14:paraId="00000156" w14:textId="77777777" w:rsidR="00EF2EEB" w:rsidRDefault="00EF2EEB">
            <w:pPr>
              <w:spacing w:after="0" w:line="240" w:lineRule="auto"/>
              <w:jc w:val="center"/>
              <w:rPr>
                <w:rFonts w:ascii="Arial Narrow" w:eastAsia="Arial Narrow" w:hAnsi="Arial Narrow" w:cs="Arial Narrow"/>
                <w:b/>
                <w:bCs/>
                <w:sz w:val="22"/>
                <w:szCs w:val="22"/>
              </w:rPr>
            </w:pPr>
          </w:p>
        </w:tc>
      </w:tr>
      <w:tr w:rsidR="00EF2EEB" w14:paraId="3DA4055A" w14:textId="77777777">
        <w:trPr>
          <w:trHeight w:val="555"/>
          <w:jc w:val="center"/>
        </w:trPr>
        <w:tc>
          <w:tcPr>
            <w:tcW w:w="10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59" w14:textId="77777777" w:rsidR="00EF2EEB" w:rsidRDefault="00EF2EEB">
            <w:pPr>
              <w:spacing w:after="0" w:line="240" w:lineRule="auto"/>
              <w:jc w:val="center"/>
              <w:rPr>
                <w:rFonts w:ascii="Arial Narrow" w:eastAsia="Arial Narrow" w:hAnsi="Arial Narrow" w:cs="Arial Narrow"/>
                <w:b/>
                <w:bCs/>
                <w:sz w:val="22"/>
                <w:szCs w:val="22"/>
              </w:rPr>
            </w:pPr>
          </w:p>
        </w:tc>
        <w:tc>
          <w:tcPr>
            <w:tcW w:w="4439" w:type="dxa"/>
            <w:tcBorders>
              <w:bottom w:val="single" w:sz="8" w:space="0" w:color="000000"/>
              <w:right w:val="single" w:sz="8" w:space="0" w:color="000000"/>
            </w:tcBorders>
            <w:tcMar>
              <w:top w:w="0" w:type="dxa"/>
              <w:left w:w="100" w:type="dxa"/>
              <w:bottom w:w="0" w:type="dxa"/>
              <w:right w:w="100" w:type="dxa"/>
            </w:tcMar>
          </w:tcPr>
          <w:p w14:paraId="0000015A"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Contenido</w:t>
            </w:r>
          </w:p>
        </w:tc>
        <w:tc>
          <w:tcPr>
            <w:tcW w:w="3346" w:type="dxa"/>
            <w:tcBorders>
              <w:bottom w:val="single" w:sz="8" w:space="0" w:color="000000"/>
              <w:right w:val="single" w:sz="8" w:space="0" w:color="000000"/>
            </w:tcBorders>
            <w:tcMar>
              <w:top w:w="0" w:type="dxa"/>
              <w:left w:w="100" w:type="dxa"/>
              <w:bottom w:w="0" w:type="dxa"/>
              <w:right w:w="100" w:type="dxa"/>
            </w:tcMar>
          </w:tcPr>
          <w:p w14:paraId="0000015B"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Enfoque Principal</w:t>
            </w:r>
          </w:p>
        </w:tc>
      </w:tr>
      <w:tr w:rsidR="00EF2EEB" w14:paraId="586E2F53" w14:textId="77777777">
        <w:trPr>
          <w:trHeight w:val="749"/>
          <w:jc w:val="center"/>
        </w:trPr>
        <w:tc>
          <w:tcPr>
            <w:tcW w:w="10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5C" w14:textId="77777777" w:rsidR="00EF2EEB" w:rsidRDefault="00EF2EEB">
            <w:pPr>
              <w:spacing w:after="0" w:line="240" w:lineRule="auto"/>
              <w:jc w:val="both"/>
              <w:rPr>
                <w:rFonts w:ascii="Arial Narrow" w:eastAsia="Arial Narrow" w:hAnsi="Arial Narrow" w:cs="Arial Narrow"/>
                <w:b/>
                <w:bCs/>
                <w:sz w:val="22"/>
                <w:szCs w:val="22"/>
              </w:rPr>
            </w:pPr>
          </w:p>
          <w:p w14:paraId="0000015D"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102</w:t>
            </w:r>
          </w:p>
        </w:tc>
        <w:tc>
          <w:tcPr>
            <w:tcW w:w="4439" w:type="dxa"/>
            <w:tcBorders>
              <w:bottom w:val="single" w:sz="8" w:space="0" w:color="000000"/>
              <w:right w:val="single" w:sz="8" w:space="0" w:color="000000"/>
            </w:tcBorders>
            <w:tcMar>
              <w:top w:w="0" w:type="dxa"/>
              <w:left w:w="100" w:type="dxa"/>
              <w:bottom w:w="0" w:type="dxa"/>
              <w:right w:w="100" w:type="dxa"/>
            </w:tcMar>
          </w:tcPr>
          <w:p w14:paraId="0000015E"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El territorio y los bienes públicos que de él forman parte pertenecen a la Nación.</w:t>
            </w:r>
          </w:p>
        </w:tc>
        <w:tc>
          <w:tcPr>
            <w:tcW w:w="3346" w:type="dxa"/>
            <w:tcBorders>
              <w:bottom w:val="single" w:sz="8" w:space="0" w:color="000000"/>
              <w:right w:val="single" w:sz="8" w:space="0" w:color="000000"/>
            </w:tcBorders>
            <w:tcMar>
              <w:top w:w="0" w:type="dxa"/>
              <w:left w:w="100" w:type="dxa"/>
              <w:bottom w:w="0" w:type="dxa"/>
              <w:right w:w="100" w:type="dxa"/>
            </w:tcMar>
          </w:tcPr>
          <w:p w14:paraId="0000015F"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Propiedad nacional del territorio y bienes.</w:t>
            </w:r>
          </w:p>
        </w:tc>
      </w:tr>
      <w:tr w:rsidR="00EF2EEB" w14:paraId="161A76FF" w14:textId="77777777">
        <w:trPr>
          <w:trHeight w:val="623"/>
          <w:jc w:val="center"/>
        </w:trPr>
        <w:tc>
          <w:tcPr>
            <w:tcW w:w="10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60" w14:textId="77777777" w:rsidR="00EF2EEB" w:rsidRDefault="00EF2EEB">
            <w:pPr>
              <w:spacing w:after="0" w:line="240" w:lineRule="auto"/>
              <w:jc w:val="both"/>
              <w:rPr>
                <w:rFonts w:ascii="Arial Narrow" w:eastAsia="Arial Narrow" w:hAnsi="Arial Narrow" w:cs="Arial Narrow"/>
                <w:b/>
                <w:bCs/>
                <w:sz w:val="22"/>
                <w:szCs w:val="22"/>
              </w:rPr>
            </w:pPr>
          </w:p>
          <w:p w14:paraId="00000161"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209</w:t>
            </w:r>
          </w:p>
        </w:tc>
        <w:tc>
          <w:tcPr>
            <w:tcW w:w="4439" w:type="dxa"/>
            <w:tcBorders>
              <w:bottom w:val="single" w:sz="8" w:space="0" w:color="000000"/>
              <w:right w:val="single" w:sz="8" w:space="0" w:color="000000"/>
            </w:tcBorders>
            <w:tcMar>
              <w:top w:w="0" w:type="dxa"/>
              <w:left w:w="100" w:type="dxa"/>
              <w:bottom w:w="0" w:type="dxa"/>
              <w:right w:w="100" w:type="dxa"/>
            </w:tcMar>
          </w:tcPr>
          <w:p w14:paraId="00000162"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Principio de eficiencia, eficacia y transparencia en la función administrativa.</w:t>
            </w:r>
          </w:p>
        </w:tc>
        <w:tc>
          <w:tcPr>
            <w:tcW w:w="3346" w:type="dxa"/>
            <w:tcBorders>
              <w:bottom w:val="single" w:sz="8" w:space="0" w:color="000000"/>
              <w:right w:val="single" w:sz="8" w:space="0" w:color="000000"/>
            </w:tcBorders>
            <w:tcMar>
              <w:top w:w="0" w:type="dxa"/>
              <w:left w:w="100" w:type="dxa"/>
              <w:bottom w:w="0" w:type="dxa"/>
              <w:right w:w="100" w:type="dxa"/>
            </w:tcMar>
          </w:tcPr>
          <w:p w14:paraId="00000163"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Principios de la administración pública.</w:t>
            </w:r>
          </w:p>
        </w:tc>
      </w:tr>
      <w:tr w:rsidR="00EF2EEB" w14:paraId="1053C113" w14:textId="77777777">
        <w:trPr>
          <w:trHeight w:val="748"/>
          <w:jc w:val="center"/>
        </w:trPr>
        <w:tc>
          <w:tcPr>
            <w:tcW w:w="10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64" w14:textId="77777777" w:rsidR="00EF2EEB" w:rsidRDefault="00EF2EEB">
            <w:pPr>
              <w:spacing w:after="0" w:line="240" w:lineRule="auto"/>
              <w:jc w:val="center"/>
              <w:rPr>
                <w:rFonts w:ascii="Arial Narrow" w:eastAsia="Arial Narrow" w:hAnsi="Arial Narrow" w:cs="Arial Narrow"/>
                <w:b/>
                <w:bCs/>
                <w:sz w:val="22"/>
                <w:szCs w:val="22"/>
              </w:rPr>
            </w:pPr>
          </w:p>
          <w:p w14:paraId="00000165"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269</w:t>
            </w:r>
          </w:p>
          <w:p w14:paraId="00000166" w14:textId="77777777" w:rsidR="00EF2EEB" w:rsidRDefault="00EF2EEB">
            <w:pPr>
              <w:spacing w:after="0" w:line="240" w:lineRule="auto"/>
              <w:jc w:val="center"/>
              <w:rPr>
                <w:rFonts w:ascii="Arial Narrow" w:eastAsia="Arial Narrow" w:hAnsi="Arial Narrow" w:cs="Arial Narrow"/>
                <w:b/>
                <w:bCs/>
                <w:sz w:val="22"/>
                <w:szCs w:val="22"/>
              </w:rPr>
            </w:pPr>
          </w:p>
        </w:tc>
        <w:tc>
          <w:tcPr>
            <w:tcW w:w="4439" w:type="dxa"/>
            <w:tcBorders>
              <w:bottom w:val="single" w:sz="8" w:space="0" w:color="000000"/>
              <w:right w:val="single" w:sz="8" w:space="0" w:color="000000"/>
            </w:tcBorders>
            <w:tcMar>
              <w:top w:w="0" w:type="dxa"/>
              <w:left w:w="100" w:type="dxa"/>
              <w:bottom w:w="0" w:type="dxa"/>
              <w:right w:w="100" w:type="dxa"/>
            </w:tcMar>
          </w:tcPr>
          <w:p w14:paraId="00000167"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Establece que las entidades públicas están obligadas a diseñar y aplicar métodos y procedimientos de control interno según la naturaleza de sus funciones. </w:t>
            </w:r>
          </w:p>
        </w:tc>
        <w:tc>
          <w:tcPr>
            <w:tcW w:w="3346" w:type="dxa"/>
            <w:tcBorders>
              <w:bottom w:val="single" w:sz="8" w:space="0" w:color="000000"/>
              <w:right w:val="single" w:sz="8" w:space="0" w:color="000000"/>
            </w:tcBorders>
            <w:tcMar>
              <w:top w:w="0" w:type="dxa"/>
              <w:left w:w="100" w:type="dxa"/>
              <w:bottom w:w="0" w:type="dxa"/>
              <w:right w:w="100" w:type="dxa"/>
            </w:tcMar>
          </w:tcPr>
          <w:p w14:paraId="00000168"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Rendición de cuentas y control.</w:t>
            </w:r>
          </w:p>
        </w:tc>
      </w:tr>
      <w:tr w:rsidR="00EF2EEB" w14:paraId="78229E5C" w14:textId="77777777">
        <w:trPr>
          <w:trHeight w:val="1095"/>
          <w:jc w:val="center"/>
        </w:trPr>
        <w:tc>
          <w:tcPr>
            <w:tcW w:w="10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69"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   </w:t>
            </w:r>
          </w:p>
          <w:p w14:paraId="0000016A"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    287</w:t>
            </w:r>
          </w:p>
        </w:tc>
        <w:tc>
          <w:tcPr>
            <w:tcW w:w="4439" w:type="dxa"/>
            <w:tcBorders>
              <w:bottom w:val="single" w:sz="8" w:space="0" w:color="000000"/>
              <w:right w:val="single" w:sz="8" w:space="0" w:color="000000"/>
            </w:tcBorders>
            <w:tcMar>
              <w:top w:w="0" w:type="dxa"/>
              <w:left w:w="100" w:type="dxa"/>
              <w:bottom w:w="0" w:type="dxa"/>
              <w:right w:w="100" w:type="dxa"/>
            </w:tcMar>
          </w:tcPr>
          <w:p w14:paraId="0000016B"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Autonomía de los Entes Territoriales para gestionar asuntos y patrimonio.</w:t>
            </w:r>
          </w:p>
        </w:tc>
        <w:tc>
          <w:tcPr>
            <w:tcW w:w="3346" w:type="dxa"/>
            <w:tcBorders>
              <w:bottom w:val="single" w:sz="8" w:space="0" w:color="000000"/>
              <w:right w:val="single" w:sz="8" w:space="0" w:color="000000"/>
            </w:tcBorders>
            <w:tcMar>
              <w:top w:w="0" w:type="dxa"/>
              <w:left w:w="100" w:type="dxa"/>
              <w:bottom w:w="0" w:type="dxa"/>
              <w:right w:w="100" w:type="dxa"/>
            </w:tcMar>
          </w:tcPr>
          <w:p w14:paraId="0000016C"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Autonomía territorial y gestión patrimonial.</w:t>
            </w:r>
          </w:p>
        </w:tc>
      </w:tr>
    </w:tbl>
    <w:p w14:paraId="0000016D" w14:textId="77777777" w:rsidR="00EF2EEB" w:rsidRDefault="00EF2EEB">
      <w:pPr>
        <w:widowControl w:val="0"/>
        <w:spacing w:after="0" w:line="276" w:lineRule="auto"/>
        <w:rPr>
          <w:rFonts w:ascii="Arial Narrow" w:eastAsia="Arial Narrow" w:hAnsi="Arial Narrow" w:cs="Arial Narrow"/>
          <w:sz w:val="22"/>
          <w:szCs w:val="22"/>
        </w:rPr>
      </w:pPr>
    </w:p>
    <w:tbl>
      <w:tblPr>
        <w:tblStyle w:val="a7"/>
        <w:tblW w:w="888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124"/>
        <w:gridCol w:w="4321"/>
        <w:gridCol w:w="3435"/>
      </w:tblGrid>
      <w:tr w:rsidR="00EF2EEB" w14:paraId="632232EB" w14:textId="77777777">
        <w:trPr>
          <w:trHeight w:val="203"/>
          <w:jc w:val="center"/>
        </w:trPr>
        <w:tc>
          <w:tcPr>
            <w:tcW w:w="8880"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tcPr>
          <w:p w14:paraId="0000016E" w14:textId="77777777" w:rsidR="00EF2EEB" w:rsidRDefault="00E57539">
            <w:pPr>
              <w:spacing w:after="240" w:line="240" w:lineRule="auto"/>
              <w:jc w:val="center"/>
              <w:rPr>
                <w:rFonts w:ascii="Arial Narrow" w:eastAsia="Arial Narrow" w:hAnsi="Arial Narrow" w:cs="Arial Narrow"/>
                <w:b/>
                <w:bCs/>
                <w:sz w:val="22"/>
                <w:szCs w:val="22"/>
              </w:rPr>
            </w:pPr>
            <w:r>
              <w:rPr>
                <w:rFonts w:ascii="Arial Narrow" w:eastAsia="Arial Narrow" w:hAnsi="Arial Narrow" w:cs="Arial Narrow"/>
                <w:sz w:val="22"/>
                <w:szCs w:val="22"/>
              </w:rPr>
              <w:t xml:space="preserve"> </w:t>
            </w:r>
            <w:r>
              <w:rPr>
                <w:rFonts w:ascii="Arial Narrow" w:eastAsia="Arial Narrow" w:hAnsi="Arial Narrow" w:cs="Arial Narrow"/>
                <w:b/>
                <w:bCs/>
                <w:sz w:val="22"/>
                <w:szCs w:val="22"/>
              </w:rPr>
              <w:t>Código Civil</w:t>
            </w:r>
          </w:p>
        </w:tc>
      </w:tr>
      <w:tr w:rsidR="00EF2EEB" w14:paraId="3208592F" w14:textId="77777777">
        <w:trPr>
          <w:trHeight w:val="345"/>
          <w:jc w:val="center"/>
        </w:trPr>
        <w:tc>
          <w:tcPr>
            <w:tcW w:w="1124"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71"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Artículo</w:t>
            </w:r>
          </w:p>
        </w:tc>
        <w:tc>
          <w:tcPr>
            <w:tcW w:w="4321" w:type="dxa"/>
            <w:tcBorders>
              <w:bottom w:val="single" w:sz="8" w:space="0" w:color="000000"/>
              <w:right w:val="single" w:sz="8" w:space="0" w:color="000000"/>
            </w:tcBorders>
            <w:tcMar>
              <w:top w:w="0" w:type="dxa"/>
              <w:left w:w="100" w:type="dxa"/>
              <w:bottom w:w="0" w:type="dxa"/>
              <w:right w:w="100" w:type="dxa"/>
            </w:tcMar>
          </w:tcPr>
          <w:p w14:paraId="00000172"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Contenido</w:t>
            </w:r>
          </w:p>
        </w:tc>
        <w:tc>
          <w:tcPr>
            <w:tcW w:w="3435" w:type="dxa"/>
            <w:tcBorders>
              <w:bottom w:val="single" w:sz="8" w:space="0" w:color="000000"/>
              <w:right w:val="single" w:sz="8" w:space="0" w:color="000000"/>
            </w:tcBorders>
            <w:tcMar>
              <w:top w:w="0" w:type="dxa"/>
              <w:left w:w="100" w:type="dxa"/>
              <w:bottom w:w="0" w:type="dxa"/>
              <w:right w:w="100" w:type="dxa"/>
            </w:tcMar>
          </w:tcPr>
          <w:p w14:paraId="00000173"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Enfoque Principal</w:t>
            </w:r>
          </w:p>
        </w:tc>
      </w:tr>
      <w:tr w:rsidR="00EF2EEB" w14:paraId="05522490" w14:textId="77777777">
        <w:trPr>
          <w:trHeight w:val="375"/>
          <w:jc w:val="center"/>
        </w:trPr>
        <w:tc>
          <w:tcPr>
            <w:tcW w:w="112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00000174" w14:textId="77777777" w:rsidR="00EF2EEB" w:rsidRDefault="00EF2EEB">
            <w:pPr>
              <w:spacing w:after="240" w:line="240" w:lineRule="auto"/>
              <w:jc w:val="both"/>
              <w:rPr>
                <w:rFonts w:ascii="Arial Narrow" w:eastAsia="Arial Narrow" w:hAnsi="Arial Narrow" w:cs="Arial Narrow"/>
                <w:b/>
                <w:bCs/>
                <w:sz w:val="22"/>
                <w:szCs w:val="22"/>
              </w:rPr>
            </w:pPr>
          </w:p>
          <w:p w14:paraId="00000175" w14:textId="77777777" w:rsidR="00EF2EEB" w:rsidRDefault="00E57539">
            <w:pPr>
              <w:spacing w:after="24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 674</w:t>
            </w:r>
          </w:p>
        </w:tc>
        <w:tc>
          <w:tcPr>
            <w:tcW w:w="4321" w:type="dxa"/>
            <w:vMerge w:val="restart"/>
            <w:tcBorders>
              <w:bottom w:val="single" w:sz="8" w:space="0" w:color="000000"/>
              <w:right w:val="single" w:sz="8" w:space="0" w:color="000000"/>
            </w:tcBorders>
            <w:tcMar>
              <w:top w:w="0" w:type="dxa"/>
              <w:left w:w="100" w:type="dxa"/>
              <w:bottom w:w="0" w:type="dxa"/>
              <w:right w:w="100" w:type="dxa"/>
            </w:tcMar>
          </w:tcPr>
          <w:p w14:paraId="00000176" w14:textId="77777777" w:rsidR="00EF2EEB" w:rsidRDefault="00E57539">
            <w:pPr>
              <w:spacing w:after="24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Regula los </w:t>
            </w:r>
            <w:r>
              <w:rPr>
                <w:rFonts w:ascii="Arial Narrow" w:eastAsia="Arial Narrow" w:hAnsi="Arial Narrow" w:cs="Arial Narrow"/>
                <w:b/>
                <w:bCs/>
                <w:sz w:val="22"/>
                <w:szCs w:val="22"/>
              </w:rPr>
              <w:t>bienes públicos y de uso público</w:t>
            </w:r>
            <w:r>
              <w:rPr>
                <w:rFonts w:ascii="Arial Narrow" w:eastAsia="Arial Narrow" w:hAnsi="Arial Narrow" w:cs="Arial Narrow"/>
                <w:sz w:val="22"/>
                <w:szCs w:val="22"/>
              </w:rPr>
              <w:t>.</w:t>
            </w:r>
          </w:p>
        </w:tc>
        <w:tc>
          <w:tcPr>
            <w:tcW w:w="3435" w:type="dxa"/>
            <w:tcBorders>
              <w:bottom w:val="single" w:sz="8" w:space="0" w:color="000000"/>
              <w:right w:val="single" w:sz="8" w:space="0" w:color="000000"/>
            </w:tcBorders>
            <w:tcMar>
              <w:top w:w="0" w:type="dxa"/>
              <w:left w:w="100" w:type="dxa"/>
              <w:bottom w:w="0" w:type="dxa"/>
              <w:right w:w="100" w:type="dxa"/>
            </w:tcMar>
          </w:tcPr>
          <w:p w14:paraId="00000177" w14:textId="77777777" w:rsidR="00EF2EEB" w:rsidRDefault="00E57539">
            <w:pPr>
              <w:spacing w:after="24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Define qué bienes son de uso público.</w:t>
            </w:r>
          </w:p>
        </w:tc>
      </w:tr>
      <w:tr w:rsidR="00EF2EEB" w14:paraId="3B515C8A" w14:textId="77777777">
        <w:trPr>
          <w:trHeight w:val="707"/>
          <w:jc w:val="center"/>
        </w:trPr>
        <w:tc>
          <w:tcPr>
            <w:tcW w:w="1124"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0000178" w14:textId="77777777" w:rsidR="00EF2EEB" w:rsidRDefault="00EF2EEB">
            <w:pPr>
              <w:widowControl w:val="0"/>
              <w:pBdr>
                <w:top w:val="nil"/>
                <w:left w:val="nil"/>
                <w:bottom w:val="nil"/>
                <w:right w:val="nil"/>
                <w:between w:val="nil"/>
              </w:pBdr>
              <w:spacing w:after="0" w:line="276" w:lineRule="auto"/>
              <w:rPr>
                <w:rFonts w:ascii="Arial Narrow" w:eastAsia="Arial Narrow" w:hAnsi="Arial Narrow" w:cs="Arial Narrow"/>
                <w:sz w:val="22"/>
                <w:szCs w:val="22"/>
              </w:rPr>
            </w:pPr>
          </w:p>
        </w:tc>
        <w:tc>
          <w:tcPr>
            <w:tcW w:w="4321" w:type="dxa"/>
            <w:vMerge/>
            <w:tcBorders>
              <w:bottom w:val="single" w:sz="8" w:space="0" w:color="000000"/>
              <w:right w:val="single" w:sz="8" w:space="0" w:color="000000"/>
            </w:tcBorders>
            <w:tcMar>
              <w:top w:w="0" w:type="dxa"/>
              <w:left w:w="100" w:type="dxa"/>
              <w:bottom w:w="0" w:type="dxa"/>
              <w:right w:w="100" w:type="dxa"/>
            </w:tcMar>
          </w:tcPr>
          <w:p w14:paraId="00000179" w14:textId="77777777" w:rsidR="00EF2EEB" w:rsidRDefault="00EF2EEB">
            <w:pPr>
              <w:widowControl w:val="0"/>
              <w:pBdr>
                <w:top w:val="nil"/>
                <w:left w:val="nil"/>
                <w:bottom w:val="nil"/>
                <w:right w:val="nil"/>
                <w:between w:val="nil"/>
              </w:pBdr>
              <w:spacing w:after="0" w:line="276" w:lineRule="auto"/>
              <w:rPr>
                <w:rFonts w:ascii="Arial Narrow" w:eastAsia="Arial Narrow" w:hAnsi="Arial Narrow" w:cs="Arial Narrow"/>
                <w:sz w:val="22"/>
                <w:szCs w:val="22"/>
              </w:rPr>
            </w:pPr>
          </w:p>
        </w:tc>
        <w:tc>
          <w:tcPr>
            <w:tcW w:w="3435" w:type="dxa"/>
            <w:tcBorders>
              <w:bottom w:val="single" w:sz="8" w:space="0" w:color="000000"/>
              <w:right w:val="single" w:sz="8" w:space="0" w:color="000000"/>
            </w:tcBorders>
            <w:tcMar>
              <w:top w:w="0" w:type="dxa"/>
              <w:left w:w="100" w:type="dxa"/>
              <w:bottom w:w="0" w:type="dxa"/>
              <w:right w:w="100" w:type="dxa"/>
            </w:tcMar>
          </w:tcPr>
          <w:p w14:paraId="0000017A" w14:textId="77777777" w:rsidR="00EF2EEB" w:rsidRDefault="00E57539">
            <w:pPr>
              <w:spacing w:after="24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 Son </w:t>
            </w:r>
            <w:r>
              <w:rPr>
                <w:rFonts w:ascii="Arial Narrow" w:eastAsia="Arial Narrow" w:hAnsi="Arial Narrow" w:cs="Arial Narrow"/>
                <w:b/>
                <w:bCs/>
                <w:sz w:val="22"/>
                <w:szCs w:val="22"/>
              </w:rPr>
              <w:t>inembargables e inalienables</w:t>
            </w:r>
            <w:r>
              <w:rPr>
                <w:rFonts w:ascii="Arial Narrow" w:eastAsia="Arial Narrow" w:hAnsi="Arial Narrow" w:cs="Arial Narrow"/>
                <w:sz w:val="22"/>
                <w:szCs w:val="22"/>
              </w:rPr>
              <w:t xml:space="preserve"> mientras mantengan esa destinación.</w:t>
            </w:r>
          </w:p>
        </w:tc>
      </w:tr>
      <w:tr w:rsidR="00EF2EEB" w14:paraId="3B57E4C3" w14:textId="77777777">
        <w:trPr>
          <w:trHeight w:val="795"/>
          <w:jc w:val="center"/>
        </w:trPr>
        <w:tc>
          <w:tcPr>
            <w:tcW w:w="112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0000017B" w14:textId="77777777" w:rsidR="00EF2EEB" w:rsidRDefault="00EF2EEB">
            <w:pPr>
              <w:spacing w:after="240" w:line="240" w:lineRule="auto"/>
              <w:jc w:val="both"/>
              <w:rPr>
                <w:rFonts w:ascii="Arial Narrow" w:eastAsia="Arial Narrow" w:hAnsi="Arial Narrow" w:cs="Arial Narrow"/>
                <w:b/>
                <w:bCs/>
                <w:sz w:val="22"/>
                <w:szCs w:val="22"/>
              </w:rPr>
            </w:pPr>
          </w:p>
          <w:p w14:paraId="0000017C" w14:textId="77777777" w:rsidR="00EF2EEB" w:rsidRDefault="00E57539">
            <w:pPr>
              <w:spacing w:after="24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 675</w:t>
            </w:r>
          </w:p>
        </w:tc>
        <w:tc>
          <w:tcPr>
            <w:tcW w:w="4321" w:type="dxa"/>
            <w:vMerge w:val="restart"/>
            <w:tcBorders>
              <w:bottom w:val="single" w:sz="8" w:space="0" w:color="000000"/>
              <w:right w:val="single" w:sz="8" w:space="0" w:color="000000"/>
            </w:tcBorders>
            <w:tcMar>
              <w:top w:w="0" w:type="dxa"/>
              <w:left w:w="100" w:type="dxa"/>
              <w:bottom w:w="0" w:type="dxa"/>
              <w:right w:w="100" w:type="dxa"/>
            </w:tcMar>
          </w:tcPr>
          <w:p w14:paraId="0000017D" w14:textId="77777777" w:rsidR="00EF2EEB" w:rsidRDefault="00E57539">
            <w:pPr>
              <w:spacing w:after="24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Establece la </w:t>
            </w:r>
            <w:r>
              <w:rPr>
                <w:rFonts w:ascii="Arial Narrow" w:eastAsia="Arial Narrow" w:hAnsi="Arial Narrow" w:cs="Arial Narrow"/>
                <w:b/>
                <w:bCs/>
                <w:sz w:val="22"/>
                <w:szCs w:val="22"/>
              </w:rPr>
              <w:t>diferencia</w:t>
            </w:r>
            <w:r>
              <w:rPr>
                <w:rFonts w:ascii="Arial Narrow" w:eastAsia="Arial Narrow" w:hAnsi="Arial Narrow" w:cs="Arial Narrow"/>
                <w:sz w:val="22"/>
                <w:szCs w:val="22"/>
              </w:rPr>
              <w:t xml:space="preserve"> entre bienes de uso público y </w:t>
            </w:r>
            <w:r>
              <w:rPr>
                <w:rFonts w:ascii="Arial Narrow" w:eastAsia="Arial Narrow" w:hAnsi="Arial Narrow" w:cs="Arial Narrow"/>
                <w:b/>
                <w:bCs/>
                <w:sz w:val="22"/>
                <w:szCs w:val="22"/>
              </w:rPr>
              <w:t>bienes fiscales</w:t>
            </w:r>
            <w:r>
              <w:rPr>
                <w:rFonts w:ascii="Arial Narrow" w:eastAsia="Arial Narrow" w:hAnsi="Arial Narrow" w:cs="Arial Narrow"/>
                <w:sz w:val="22"/>
                <w:szCs w:val="22"/>
              </w:rPr>
              <w:t>.</w:t>
            </w:r>
          </w:p>
        </w:tc>
        <w:tc>
          <w:tcPr>
            <w:tcW w:w="3435" w:type="dxa"/>
            <w:tcBorders>
              <w:bottom w:val="single" w:sz="8" w:space="0" w:color="000000"/>
              <w:right w:val="single" w:sz="8" w:space="0" w:color="000000"/>
            </w:tcBorders>
            <w:tcMar>
              <w:top w:w="0" w:type="dxa"/>
              <w:left w:w="100" w:type="dxa"/>
              <w:bottom w:w="0" w:type="dxa"/>
              <w:right w:w="100" w:type="dxa"/>
            </w:tcMar>
          </w:tcPr>
          <w:p w14:paraId="0000017E" w14:textId="77777777" w:rsidR="00EF2EEB" w:rsidRDefault="00E57539">
            <w:pPr>
              <w:spacing w:after="24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 Bienes fiscales </w:t>
            </w:r>
            <w:r>
              <w:rPr>
                <w:rFonts w:ascii="Arial Narrow" w:eastAsia="Arial Narrow" w:hAnsi="Arial Narrow" w:cs="Arial Narrow"/>
                <w:b/>
                <w:bCs/>
                <w:sz w:val="22"/>
                <w:szCs w:val="22"/>
              </w:rPr>
              <w:t>sí pueden ser enajenados</w:t>
            </w:r>
            <w:r>
              <w:rPr>
                <w:rFonts w:ascii="Arial Narrow" w:eastAsia="Arial Narrow" w:hAnsi="Arial Narrow" w:cs="Arial Narrow"/>
                <w:sz w:val="22"/>
                <w:szCs w:val="22"/>
              </w:rPr>
              <w:t>.</w:t>
            </w:r>
          </w:p>
        </w:tc>
      </w:tr>
      <w:tr w:rsidR="00EF2EEB" w14:paraId="35EFE362" w14:textId="77777777">
        <w:trPr>
          <w:trHeight w:val="540"/>
          <w:jc w:val="center"/>
        </w:trPr>
        <w:tc>
          <w:tcPr>
            <w:tcW w:w="1124"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000017F" w14:textId="77777777" w:rsidR="00EF2EEB" w:rsidRDefault="00EF2EEB">
            <w:pPr>
              <w:widowControl w:val="0"/>
              <w:pBdr>
                <w:top w:val="nil"/>
                <w:left w:val="nil"/>
                <w:bottom w:val="nil"/>
                <w:right w:val="nil"/>
                <w:between w:val="nil"/>
              </w:pBdr>
              <w:spacing w:after="0" w:line="276" w:lineRule="auto"/>
              <w:rPr>
                <w:rFonts w:ascii="Arial Narrow" w:eastAsia="Arial Narrow" w:hAnsi="Arial Narrow" w:cs="Arial Narrow"/>
                <w:sz w:val="22"/>
                <w:szCs w:val="22"/>
              </w:rPr>
            </w:pPr>
          </w:p>
        </w:tc>
        <w:tc>
          <w:tcPr>
            <w:tcW w:w="4321" w:type="dxa"/>
            <w:vMerge/>
            <w:tcBorders>
              <w:bottom w:val="single" w:sz="8" w:space="0" w:color="000000"/>
              <w:right w:val="single" w:sz="8" w:space="0" w:color="000000"/>
            </w:tcBorders>
            <w:tcMar>
              <w:top w:w="0" w:type="dxa"/>
              <w:left w:w="100" w:type="dxa"/>
              <w:bottom w:w="0" w:type="dxa"/>
              <w:right w:w="100" w:type="dxa"/>
            </w:tcMar>
          </w:tcPr>
          <w:p w14:paraId="00000180" w14:textId="77777777" w:rsidR="00EF2EEB" w:rsidRDefault="00EF2EEB">
            <w:pPr>
              <w:widowControl w:val="0"/>
              <w:pBdr>
                <w:top w:val="nil"/>
                <w:left w:val="nil"/>
                <w:bottom w:val="nil"/>
                <w:right w:val="nil"/>
                <w:between w:val="nil"/>
              </w:pBdr>
              <w:spacing w:after="0" w:line="276" w:lineRule="auto"/>
              <w:rPr>
                <w:rFonts w:ascii="Arial Narrow" w:eastAsia="Arial Narrow" w:hAnsi="Arial Narrow" w:cs="Arial Narrow"/>
                <w:sz w:val="22"/>
                <w:szCs w:val="22"/>
              </w:rPr>
            </w:pPr>
          </w:p>
        </w:tc>
        <w:tc>
          <w:tcPr>
            <w:tcW w:w="3435" w:type="dxa"/>
            <w:tcBorders>
              <w:bottom w:val="single" w:sz="8" w:space="0" w:color="000000"/>
              <w:right w:val="single" w:sz="8" w:space="0" w:color="000000"/>
            </w:tcBorders>
            <w:tcMar>
              <w:top w:w="0" w:type="dxa"/>
              <w:left w:w="100" w:type="dxa"/>
              <w:bottom w:w="0" w:type="dxa"/>
              <w:right w:w="100" w:type="dxa"/>
            </w:tcMar>
          </w:tcPr>
          <w:p w14:paraId="00000181" w14:textId="77777777" w:rsidR="00EF2EEB" w:rsidRDefault="00E57539">
            <w:pPr>
              <w:spacing w:after="24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Bienes de uso público no.</w:t>
            </w:r>
          </w:p>
        </w:tc>
      </w:tr>
      <w:tr w:rsidR="00EF2EEB" w14:paraId="4EF2F893" w14:textId="77777777">
        <w:trPr>
          <w:trHeight w:val="696"/>
          <w:jc w:val="center"/>
        </w:trPr>
        <w:tc>
          <w:tcPr>
            <w:tcW w:w="1124"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82" w14:textId="77777777" w:rsidR="00EF2EEB" w:rsidRDefault="00EF2EEB">
            <w:pPr>
              <w:spacing w:after="240" w:line="240" w:lineRule="auto"/>
              <w:jc w:val="both"/>
              <w:rPr>
                <w:rFonts w:ascii="Arial Narrow" w:eastAsia="Arial Narrow" w:hAnsi="Arial Narrow" w:cs="Arial Narrow"/>
                <w:b/>
                <w:bCs/>
                <w:sz w:val="22"/>
                <w:szCs w:val="22"/>
              </w:rPr>
            </w:pPr>
          </w:p>
          <w:p w14:paraId="00000183" w14:textId="77777777" w:rsidR="00EF2EEB" w:rsidRDefault="00E57539">
            <w:pPr>
              <w:spacing w:after="24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 676</w:t>
            </w:r>
          </w:p>
        </w:tc>
        <w:tc>
          <w:tcPr>
            <w:tcW w:w="4321" w:type="dxa"/>
            <w:tcBorders>
              <w:bottom w:val="single" w:sz="8" w:space="0" w:color="000000"/>
              <w:right w:val="single" w:sz="8" w:space="0" w:color="000000"/>
            </w:tcBorders>
            <w:tcMar>
              <w:top w:w="0" w:type="dxa"/>
              <w:left w:w="100" w:type="dxa"/>
              <w:bottom w:w="0" w:type="dxa"/>
              <w:right w:w="100" w:type="dxa"/>
            </w:tcMar>
          </w:tcPr>
          <w:p w14:paraId="00000184" w14:textId="77777777" w:rsidR="00EF2EEB" w:rsidRDefault="00E57539">
            <w:pPr>
              <w:spacing w:after="24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Indica que el </w:t>
            </w:r>
            <w:r>
              <w:rPr>
                <w:rFonts w:ascii="Arial Narrow" w:eastAsia="Arial Narrow" w:hAnsi="Arial Narrow" w:cs="Arial Narrow"/>
                <w:b/>
                <w:bCs/>
                <w:sz w:val="22"/>
                <w:szCs w:val="22"/>
              </w:rPr>
              <w:t>dominio</w:t>
            </w:r>
            <w:r>
              <w:rPr>
                <w:rFonts w:ascii="Arial Narrow" w:eastAsia="Arial Narrow" w:hAnsi="Arial Narrow" w:cs="Arial Narrow"/>
                <w:sz w:val="22"/>
                <w:szCs w:val="22"/>
              </w:rPr>
              <w:t xml:space="preserve"> de estos bienes pertenece a la </w:t>
            </w:r>
            <w:r>
              <w:rPr>
                <w:rFonts w:ascii="Arial Narrow" w:eastAsia="Arial Narrow" w:hAnsi="Arial Narrow" w:cs="Arial Narrow"/>
                <w:b/>
                <w:bCs/>
                <w:sz w:val="22"/>
                <w:szCs w:val="22"/>
              </w:rPr>
              <w:t>Nación o entidades territoriales</w:t>
            </w:r>
            <w:r>
              <w:rPr>
                <w:rFonts w:ascii="Arial Narrow" w:eastAsia="Arial Narrow" w:hAnsi="Arial Narrow" w:cs="Arial Narrow"/>
                <w:sz w:val="22"/>
                <w:szCs w:val="22"/>
              </w:rPr>
              <w:t>.</w:t>
            </w:r>
          </w:p>
        </w:tc>
        <w:tc>
          <w:tcPr>
            <w:tcW w:w="3435" w:type="dxa"/>
            <w:tcBorders>
              <w:bottom w:val="single" w:sz="8" w:space="0" w:color="000000"/>
              <w:right w:val="single" w:sz="8" w:space="0" w:color="000000"/>
            </w:tcBorders>
            <w:tcMar>
              <w:top w:w="0" w:type="dxa"/>
              <w:left w:w="100" w:type="dxa"/>
              <w:bottom w:w="0" w:type="dxa"/>
              <w:right w:w="100" w:type="dxa"/>
            </w:tcMar>
          </w:tcPr>
          <w:p w14:paraId="00000185" w14:textId="77777777" w:rsidR="00EF2EEB" w:rsidRDefault="00E57539">
            <w:pPr>
              <w:spacing w:after="24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 Su administración se rige por </w:t>
            </w:r>
            <w:r>
              <w:rPr>
                <w:rFonts w:ascii="Arial Narrow" w:eastAsia="Arial Narrow" w:hAnsi="Arial Narrow" w:cs="Arial Narrow"/>
                <w:b/>
                <w:bCs/>
                <w:sz w:val="22"/>
                <w:szCs w:val="22"/>
              </w:rPr>
              <w:t>normas especiales</w:t>
            </w:r>
            <w:r>
              <w:rPr>
                <w:rFonts w:ascii="Arial Narrow" w:eastAsia="Arial Narrow" w:hAnsi="Arial Narrow" w:cs="Arial Narrow"/>
                <w:sz w:val="22"/>
                <w:szCs w:val="22"/>
              </w:rPr>
              <w:t>.</w:t>
            </w:r>
          </w:p>
        </w:tc>
      </w:tr>
    </w:tbl>
    <w:p w14:paraId="00000186" w14:textId="77777777" w:rsidR="00EF2EEB" w:rsidRDefault="00EF2EEB">
      <w:pPr>
        <w:widowControl w:val="0"/>
        <w:spacing w:after="0" w:line="276" w:lineRule="auto"/>
        <w:rPr>
          <w:rFonts w:ascii="Arial Narrow" w:eastAsia="Arial Narrow" w:hAnsi="Arial Narrow" w:cs="Arial Narrow"/>
          <w:sz w:val="22"/>
          <w:szCs w:val="22"/>
        </w:rPr>
      </w:pPr>
    </w:p>
    <w:tbl>
      <w:tblPr>
        <w:tblStyle w:val="a8"/>
        <w:tblW w:w="8898"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38"/>
        <w:gridCol w:w="1665"/>
        <w:gridCol w:w="5895"/>
      </w:tblGrid>
      <w:tr w:rsidR="00EF2EEB" w14:paraId="5A36EE4D" w14:textId="77777777">
        <w:trPr>
          <w:trHeight w:val="285"/>
          <w:jc w:val="center"/>
        </w:trPr>
        <w:tc>
          <w:tcPr>
            <w:tcW w:w="8898"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tcPr>
          <w:p w14:paraId="00000187"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Leyes  </w:t>
            </w:r>
          </w:p>
        </w:tc>
      </w:tr>
      <w:tr w:rsidR="00EF2EEB" w14:paraId="0860E415" w14:textId="77777777">
        <w:trPr>
          <w:trHeight w:val="285"/>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8A"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Norma</w:t>
            </w:r>
          </w:p>
        </w:tc>
        <w:tc>
          <w:tcPr>
            <w:tcW w:w="1665" w:type="dxa"/>
            <w:tcBorders>
              <w:bottom w:val="single" w:sz="8" w:space="0" w:color="000000"/>
              <w:right w:val="single" w:sz="8" w:space="0" w:color="000000"/>
            </w:tcBorders>
            <w:tcMar>
              <w:top w:w="0" w:type="dxa"/>
              <w:left w:w="100" w:type="dxa"/>
              <w:bottom w:w="0" w:type="dxa"/>
              <w:right w:w="100" w:type="dxa"/>
            </w:tcMar>
          </w:tcPr>
          <w:p w14:paraId="0000018B"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Artículo</w:t>
            </w:r>
          </w:p>
        </w:tc>
        <w:tc>
          <w:tcPr>
            <w:tcW w:w="5895" w:type="dxa"/>
            <w:tcBorders>
              <w:bottom w:val="single" w:sz="8" w:space="0" w:color="000000"/>
              <w:right w:val="single" w:sz="8" w:space="0" w:color="000000"/>
            </w:tcBorders>
            <w:tcMar>
              <w:top w:w="0" w:type="dxa"/>
              <w:left w:w="100" w:type="dxa"/>
              <w:bottom w:w="0" w:type="dxa"/>
              <w:right w:w="100" w:type="dxa"/>
            </w:tcMar>
          </w:tcPr>
          <w:p w14:paraId="0000018C"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Contenido Relevante</w:t>
            </w:r>
          </w:p>
        </w:tc>
      </w:tr>
      <w:tr w:rsidR="00EF2EEB" w14:paraId="081AA085"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8D"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Ley 388 de 1997</w:t>
            </w:r>
          </w:p>
        </w:tc>
        <w:tc>
          <w:tcPr>
            <w:tcW w:w="1665" w:type="dxa"/>
            <w:tcBorders>
              <w:bottom w:val="single" w:sz="8" w:space="0" w:color="000000"/>
              <w:right w:val="single" w:sz="8" w:space="0" w:color="000000"/>
            </w:tcBorders>
            <w:tcMar>
              <w:top w:w="0" w:type="dxa"/>
              <w:left w:w="100" w:type="dxa"/>
              <w:bottom w:w="0" w:type="dxa"/>
              <w:right w:w="100" w:type="dxa"/>
            </w:tcMar>
          </w:tcPr>
          <w:p w14:paraId="0000018E"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Art. 123</w:t>
            </w:r>
          </w:p>
        </w:tc>
        <w:tc>
          <w:tcPr>
            <w:tcW w:w="5895" w:type="dxa"/>
            <w:tcBorders>
              <w:bottom w:val="single" w:sz="8" w:space="0" w:color="000000"/>
              <w:right w:val="single" w:sz="8" w:space="0" w:color="000000"/>
            </w:tcBorders>
            <w:tcMar>
              <w:top w:w="0" w:type="dxa"/>
              <w:left w:w="100" w:type="dxa"/>
              <w:bottom w:w="0" w:type="dxa"/>
              <w:right w:w="100" w:type="dxa"/>
            </w:tcMar>
          </w:tcPr>
          <w:p w14:paraId="0000018F"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Los terrenos baldíos urbanos (no reserva ambiental) </w:t>
            </w:r>
            <w:r>
              <w:rPr>
                <w:rFonts w:ascii="Arial Narrow" w:eastAsia="Arial Narrow" w:hAnsi="Arial Narrow" w:cs="Arial Narrow"/>
                <w:b/>
                <w:bCs/>
                <w:sz w:val="22"/>
                <w:szCs w:val="22"/>
              </w:rPr>
              <w:t>pertenecen a municipios y distritos</w:t>
            </w:r>
            <w:r>
              <w:rPr>
                <w:rFonts w:ascii="Arial Narrow" w:eastAsia="Arial Narrow" w:hAnsi="Arial Narrow" w:cs="Arial Narrow"/>
                <w:sz w:val="22"/>
                <w:szCs w:val="22"/>
              </w:rPr>
              <w:t>.</w:t>
            </w:r>
          </w:p>
        </w:tc>
      </w:tr>
      <w:tr w:rsidR="00EF2EEB" w14:paraId="008CCC36" w14:textId="77777777">
        <w:trPr>
          <w:trHeight w:val="855"/>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90"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Ley 136 de 1994</w:t>
            </w:r>
          </w:p>
        </w:tc>
        <w:tc>
          <w:tcPr>
            <w:tcW w:w="1665" w:type="dxa"/>
            <w:tcBorders>
              <w:bottom w:val="single" w:sz="8" w:space="0" w:color="000000"/>
              <w:right w:val="single" w:sz="8" w:space="0" w:color="000000"/>
            </w:tcBorders>
            <w:tcMar>
              <w:top w:w="0" w:type="dxa"/>
              <w:left w:w="100" w:type="dxa"/>
              <w:bottom w:w="0" w:type="dxa"/>
              <w:right w:w="100" w:type="dxa"/>
            </w:tcMar>
          </w:tcPr>
          <w:p w14:paraId="00000191"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Art. 32, Par. 4°</w:t>
            </w:r>
          </w:p>
        </w:tc>
        <w:tc>
          <w:tcPr>
            <w:tcW w:w="5895" w:type="dxa"/>
            <w:tcBorders>
              <w:bottom w:val="single" w:sz="8" w:space="0" w:color="000000"/>
              <w:right w:val="single" w:sz="8" w:space="0" w:color="000000"/>
            </w:tcBorders>
            <w:tcMar>
              <w:top w:w="0" w:type="dxa"/>
              <w:left w:w="100" w:type="dxa"/>
              <w:bottom w:w="0" w:type="dxa"/>
              <w:right w:w="100" w:type="dxa"/>
            </w:tcMar>
          </w:tcPr>
          <w:p w14:paraId="00000192"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El </w:t>
            </w:r>
            <w:r>
              <w:rPr>
                <w:rFonts w:ascii="Arial Narrow" w:eastAsia="Arial Narrow" w:hAnsi="Arial Narrow" w:cs="Arial Narrow"/>
                <w:b/>
                <w:bCs/>
                <w:sz w:val="22"/>
                <w:szCs w:val="22"/>
              </w:rPr>
              <w:t>Concejo autoriza</w:t>
            </w:r>
            <w:r>
              <w:rPr>
                <w:rFonts w:ascii="Arial Narrow" w:eastAsia="Arial Narrow" w:hAnsi="Arial Narrow" w:cs="Arial Narrow"/>
                <w:sz w:val="22"/>
                <w:szCs w:val="22"/>
              </w:rPr>
              <w:t xml:space="preserve"> al alcalde para contratar empréstitos, celebrar contratos con vigencias futuras y enajenar bienes inmuebles. Soporte para la </w:t>
            </w:r>
            <w:r>
              <w:rPr>
                <w:rFonts w:ascii="Arial Narrow" w:eastAsia="Arial Narrow" w:hAnsi="Arial Narrow" w:cs="Arial Narrow"/>
                <w:b/>
                <w:bCs/>
                <w:sz w:val="22"/>
                <w:szCs w:val="22"/>
              </w:rPr>
              <w:t>gestión de bienes fiscales</w:t>
            </w:r>
            <w:r>
              <w:rPr>
                <w:rFonts w:ascii="Arial Narrow" w:eastAsia="Arial Narrow" w:hAnsi="Arial Narrow" w:cs="Arial Narrow"/>
                <w:sz w:val="22"/>
                <w:szCs w:val="22"/>
              </w:rPr>
              <w:t>.</w:t>
            </w:r>
          </w:p>
        </w:tc>
      </w:tr>
      <w:tr w:rsidR="00EF2EEB" w14:paraId="3482E871"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93" w14:textId="77777777" w:rsidR="00EF2EEB" w:rsidRDefault="00EF2EEB">
            <w:pPr>
              <w:spacing w:after="0" w:line="240" w:lineRule="auto"/>
              <w:ind w:left="720"/>
              <w:jc w:val="both"/>
              <w:rPr>
                <w:rFonts w:ascii="Arial Narrow" w:eastAsia="Arial Narrow" w:hAnsi="Arial Narrow" w:cs="Arial Narrow"/>
                <w:sz w:val="22"/>
                <w:szCs w:val="22"/>
              </w:rPr>
            </w:pPr>
          </w:p>
        </w:tc>
        <w:tc>
          <w:tcPr>
            <w:tcW w:w="1665" w:type="dxa"/>
            <w:tcBorders>
              <w:bottom w:val="single" w:sz="8" w:space="0" w:color="000000"/>
              <w:right w:val="single" w:sz="8" w:space="0" w:color="000000"/>
            </w:tcBorders>
            <w:tcMar>
              <w:top w:w="0" w:type="dxa"/>
              <w:left w:w="100" w:type="dxa"/>
              <w:bottom w:w="0" w:type="dxa"/>
              <w:right w:w="100" w:type="dxa"/>
            </w:tcMar>
          </w:tcPr>
          <w:p w14:paraId="00000194"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Art. 91</w:t>
            </w:r>
          </w:p>
        </w:tc>
        <w:tc>
          <w:tcPr>
            <w:tcW w:w="5895" w:type="dxa"/>
            <w:tcBorders>
              <w:bottom w:val="single" w:sz="8" w:space="0" w:color="000000"/>
              <w:right w:val="single" w:sz="8" w:space="0" w:color="000000"/>
            </w:tcBorders>
            <w:tcMar>
              <w:top w:w="0" w:type="dxa"/>
              <w:left w:w="100" w:type="dxa"/>
              <w:bottom w:w="0" w:type="dxa"/>
              <w:right w:w="100" w:type="dxa"/>
            </w:tcMar>
          </w:tcPr>
          <w:p w14:paraId="00000195"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El </w:t>
            </w:r>
            <w:r>
              <w:rPr>
                <w:rFonts w:ascii="Arial Narrow" w:eastAsia="Arial Narrow" w:hAnsi="Arial Narrow" w:cs="Arial Narrow"/>
                <w:b/>
                <w:bCs/>
                <w:sz w:val="22"/>
                <w:szCs w:val="22"/>
              </w:rPr>
              <w:t>alcalde debe administrar y proteger</w:t>
            </w:r>
            <w:r>
              <w:rPr>
                <w:rFonts w:ascii="Arial Narrow" w:eastAsia="Arial Narrow" w:hAnsi="Arial Narrow" w:cs="Arial Narrow"/>
                <w:sz w:val="22"/>
                <w:szCs w:val="22"/>
              </w:rPr>
              <w:t xml:space="preserve"> los bienes del municipio y asegurar su </w:t>
            </w:r>
            <w:r>
              <w:rPr>
                <w:rFonts w:ascii="Arial Narrow" w:eastAsia="Arial Narrow" w:hAnsi="Arial Narrow" w:cs="Arial Narrow"/>
                <w:b/>
                <w:bCs/>
                <w:sz w:val="22"/>
                <w:szCs w:val="22"/>
              </w:rPr>
              <w:t>registro adecuado</w:t>
            </w:r>
            <w:r>
              <w:rPr>
                <w:rFonts w:ascii="Arial Narrow" w:eastAsia="Arial Narrow" w:hAnsi="Arial Narrow" w:cs="Arial Narrow"/>
                <w:sz w:val="22"/>
                <w:szCs w:val="22"/>
              </w:rPr>
              <w:t>.</w:t>
            </w:r>
          </w:p>
        </w:tc>
      </w:tr>
      <w:tr w:rsidR="00EF2EEB" w14:paraId="1D1C1311" w14:textId="77777777">
        <w:trPr>
          <w:trHeight w:val="129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96"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b/>
                <w:bCs/>
                <w:sz w:val="22"/>
                <w:szCs w:val="22"/>
              </w:rPr>
              <w:t>Ley 734 de 2002</w:t>
            </w:r>
            <w:r>
              <w:rPr>
                <w:rFonts w:ascii="Arial Narrow" w:eastAsia="Arial Narrow" w:hAnsi="Arial Narrow" w:cs="Arial Narrow"/>
                <w:b/>
                <w:bCs/>
                <w:sz w:val="22"/>
                <w:szCs w:val="22"/>
              </w:rPr>
              <w:br/>
            </w:r>
            <w:r>
              <w:rPr>
                <w:rFonts w:ascii="Arial Narrow" w:eastAsia="Arial Narrow" w:hAnsi="Arial Narrow" w:cs="Arial Narrow"/>
                <w:sz w:val="22"/>
                <w:szCs w:val="22"/>
              </w:rPr>
              <w:t>(Código Disciplinario Único)</w:t>
            </w:r>
          </w:p>
        </w:tc>
        <w:tc>
          <w:tcPr>
            <w:tcW w:w="1665" w:type="dxa"/>
            <w:tcBorders>
              <w:bottom w:val="single" w:sz="8" w:space="0" w:color="000000"/>
              <w:right w:val="single" w:sz="8" w:space="0" w:color="000000"/>
            </w:tcBorders>
            <w:tcMar>
              <w:top w:w="0" w:type="dxa"/>
              <w:left w:w="100" w:type="dxa"/>
              <w:bottom w:w="0" w:type="dxa"/>
              <w:right w:w="100" w:type="dxa"/>
            </w:tcMar>
          </w:tcPr>
          <w:p w14:paraId="00000197"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Art. 34, Num. 4</w:t>
            </w:r>
          </w:p>
        </w:tc>
        <w:tc>
          <w:tcPr>
            <w:tcW w:w="5895" w:type="dxa"/>
            <w:tcBorders>
              <w:bottom w:val="single" w:sz="8" w:space="0" w:color="000000"/>
              <w:right w:val="single" w:sz="8" w:space="0" w:color="000000"/>
            </w:tcBorders>
            <w:tcMar>
              <w:top w:w="0" w:type="dxa"/>
              <w:left w:w="100" w:type="dxa"/>
              <w:bottom w:w="0" w:type="dxa"/>
              <w:right w:w="100" w:type="dxa"/>
            </w:tcMar>
          </w:tcPr>
          <w:p w14:paraId="00000198"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Deber de </w:t>
            </w:r>
            <w:r>
              <w:rPr>
                <w:rFonts w:ascii="Arial Narrow" w:eastAsia="Arial Narrow" w:hAnsi="Arial Narrow" w:cs="Arial Narrow"/>
                <w:b/>
                <w:bCs/>
                <w:sz w:val="22"/>
                <w:szCs w:val="22"/>
              </w:rPr>
              <w:t>custodiar y cuidar los bienes del Estado</w:t>
            </w:r>
            <w:r>
              <w:rPr>
                <w:rFonts w:ascii="Arial Narrow" w:eastAsia="Arial Narrow" w:hAnsi="Arial Narrow" w:cs="Arial Narrow"/>
                <w:sz w:val="22"/>
                <w:szCs w:val="22"/>
              </w:rPr>
              <w:t>. No mantener actualizado el inventario puede ser una falta</w:t>
            </w:r>
            <w:r>
              <w:rPr>
                <w:rFonts w:ascii="Arial Narrow" w:eastAsia="Arial Narrow" w:hAnsi="Arial Narrow" w:cs="Arial Narrow"/>
                <w:b/>
                <w:bCs/>
                <w:sz w:val="22"/>
                <w:szCs w:val="22"/>
              </w:rPr>
              <w:t xml:space="preserve"> disciplinaria</w:t>
            </w:r>
            <w:r>
              <w:rPr>
                <w:rFonts w:ascii="Arial Narrow" w:eastAsia="Arial Narrow" w:hAnsi="Arial Narrow" w:cs="Arial Narrow"/>
                <w:sz w:val="22"/>
                <w:szCs w:val="22"/>
              </w:rPr>
              <w:t>.</w:t>
            </w:r>
          </w:p>
        </w:tc>
      </w:tr>
      <w:tr w:rsidR="00EF2EEB" w14:paraId="59143440"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99"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lastRenderedPageBreak/>
              <w:t>Ley 2044 de 2020</w:t>
            </w:r>
          </w:p>
        </w:tc>
        <w:tc>
          <w:tcPr>
            <w:tcW w:w="1665" w:type="dxa"/>
            <w:tcBorders>
              <w:bottom w:val="single" w:sz="8" w:space="0" w:color="000000"/>
              <w:right w:val="single" w:sz="8" w:space="0" w:color="000000"/>
            </w:tcBorders>
            <w:tcMar>
              <w:top w:w="0" w:type="dxa"/>
              <w:left w:w="100" w:type="dxa"/>
              <w:bottom w:w="0" w:type="dxa"/>
              <w:right w:w="100" w:type="dxa"/>
            </w:tcMar>
          </w:tcPr>
          <w:p w14:paraId="0000019A"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w:t>
            </w:r>
          </w:p>
        </w:tc>
        <w:tc>
          <w:tcPr>
            <w:tcW w:w="5895" w:type="dxa"/>
            <w:tcBorders>
              <w:bottom w:val="single" w:sz="8" w:space="0" w:color="000000"/>
              <w:right w:val="single" w:sz="8" w:space="0" w:color="000000"/>
            </w:tcBorders>
            <w:tcMar>
              <w:top w:w="0" w:type="dxa"/>
              <w:left w:w="100" w:type="dxa"/>
              <w:bottom w:w="0" w:type="dxa"/>
              <w:right w:w="100" w:type="dxa"/>
            </w:tcMar>
          </w:tcPr>
          <w:p w14:paraId="0000019B"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Normas para el </w:t>
            </w:r>
            <w:r>
              <w:rPr>
                <w:rFonts w:ascii="Arial Narrow" w:eastAsia="Arial Narrow" w:hAnsi="Arial Narrow" w:cs="Arial Narrow"/>
                <w:b/>
                <w:bCs/>
                <w:sz w:val="22"/>
                <w:szCs w:val="22"/>
              </w:rPr>
              <w:t>saneamiento de predios ocupados ilegalmente</w:t>
            </w:r>
            <w:r>
              <w:rPr>
                <w:rFonts w:ascii="Arial Narrow" w:eastAsia="Arial Narrow" w:hAnsi="Arial Narrow" w:cs="Arial Narrow"/>
                <w:sz w:val="22"/>
                <w:szCs w:val="22"/>
              </w:rPr>
              <w:t>. Reglamentada por el Decreto 523 de 2021</w:t>
            </w:r>
          </w:p>
        </w:tc>
      </w:tr>
      <w:tr w:rsidR="00EF2EEB" w14:paraId="77255EDD"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9C"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Ley 617 de 2000</w:t>
            </w:r>
          </w:p>
        </w:tc>
        <w:tc>
          <w:tcPr>
            <w:tcW w:w="1665" w:type="dxa"/>
            <w:tcBorders>
              <w:bottom w:val="single" w:sz="8" w:space="0" w:color="000000"/>
              <w:right w:val="single" w:sz="8" w:space="0" w:color="000000"/>
            </w:tcBorders>
            <w:tcMar>
              <w:top w:w="0" w:type="dxa"/>
              <w:left w:w="100" w:type="dxa"/>
              <w:bottom w:w="0" w:type="dxa"/>
              <w:right w:w="100" w:type="dxa"/>
            </w:tcMar>
          </w:tcPr>
          <w:p w14:paraId="0000019D"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w:t>
            </w:r>
          </w:p>
        </w:tc>
        <w:tc>
          <w:tcPr>
            <w:tcW w:w="5895" w:type="dxa"/>
            <w:tcBorders>
              <w:bottom w:val="single" w:sz="8" w:space="0" w:color="000000"/>
              <w:right w:val="single" w:sz="8" w:space="0" w:color="000000"/>
            </w:tcBorders>
            <w:tcMar>
              <w:top w:w="0" w:type="dxa"/>
              <w:left w:w="100" w:type="dxa"/>
              <w:bottom w:w="0" w:type="dxa"/>
              <w:right w:w="100" w:type="dxa"/>
            </w:tcMar>
          </w:tcPr>
          <w:p w14:paraId="0000019E"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Obliga a los municipios a un </w:t>
            </w:r>
            <w:r>
              <w:rPr>
                <w:rFonts w:ascii="Arial Narrow" w:eastAsia="Arial Narrow" w:hAnsi="Arial Narrow" w:cs="Arial Narrow"/>
                <w:b/>
                <w:bCs/>
                <w:sz w:val="22"/>
                <w:szCs w:val="22"/>
              </w:rPr>
              <w:t>control estricto de activos y pasivos</w:t>
            </w:r>
            <w:r>
              <w:rPr>
                <w:rFonts w:ascii="Arial Narrow" w:eastAsia="Arial Narrow" w:hAnsi="Arial Narrow" w:cs="Arial Narrow"/>
                <w:sz w:val="22"/>
                <w:szCs w:val="22"/>
              </w:rPr>
              <w:t>. Saneamiento fiscal.</w:t>
            </w:r>
          </w:p>
        </w:tc>
      </w:tr>
      <w:tr w:rsidR="00EF2EEB" w14:paraId="6FB5441C"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9F"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Ley 708 de 2001</w:t>
            </w:r>
          </w:p>
        </w:tc>
        <w:tc>
          <w:tcPr>
            <w:tcW w:w="1665" w:type="dxa"/>
            <w:tcBorders>
              <w:bottom w:val="single" w:sz="8" w:space="0" w:color="000000"/>
              <w:right w:val="single" w:sz="8" w:space="0" w:color="000000"/>
            </w:tcBorders>
            <w:tcMar>
              <w:top w:w="0" w:type="dxa"/>
              <w:left w:w="100" w:type="dxa"/>
              <w:bottom w:w="0" w:type="dxa"/>
              <w:right w:w="100" w:type="dxa"/>
            </w:tcMar>
          </w:tcPr>
          <w:p w14:paraId="000001A0"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w:t>
            </w:r>
          </w:p>
        </w:tc>
        <w:tc>
          <w:tcPr>
            <w:tcW w:w="5895" w:type="dxa"/>
            <w:tcBorders>
              <w:bottom w:val="single" w:sz="8" w:space="0" w:color="000000"/>
              <w:right w:val="single" w:sz="8" w:space="0" w:color="000000"/>
            </w:tcBorders>
            <w:tcMar>
              <w:top w:w="0" w:type="dxa"/>
              <w:left w:w="100" w:type="dxa"/>
              <w:bottom w:w="0" w:type="dxa"/>
              <w:right w:w="100" w:type="dxa"/>
            </w:tcMar>
          </w:tcPr>
          <w:p w14:paraId="000001A1"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Regula la </w:t>
            </w:r>
            <w:r>
              <w:rPr>
                <w:rFonts w:ascii="Arial Narrow" w:eastAsia="Arial Narrow" w:hAnsi="Arial Narrow" w:cs="Arial Narrow"/>
                <w:b/>
                <w:bCs/>
                <w:sz w:val="22"/>
                <w:szCs w:val="22"/>
              </w:rPr>
              <w:t>movilización de activos del Estado</w:t>
            </w:r>
            <w:r>
              <w:rPr>
                <w:rFonts w:ascii="Arial Narrow" w:eastAsia="Arial Narrow" w:hAnsi="Arial Narrow" w:cs="Arial Narrow"/>
                <w:sz w:val="22"/>
                <w:szCs w:val="22"/>
              </w:rPr>
              <w:t>. Bienes fiscales deben ser inventariados y reportados.</w:t>
            </w:r>
          </w:p>
        </w:tc>
      </w:tr>
      <w:tr w:rsidR="00EF2EEB" w14:paraId="1802E1E2"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A2"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Ley 87 de 1993</w:t>
            </w:r>
          </w:p>
        </w:tc>
        <w:tc>
          <w:tcPr>
            <w:tcW w:w="1665" w:type="dxa"/>
            <w:tcBorders>
              <w:bottom w:val="single" w:sz="8" w:space="0" w:color="000000"/>
              <w:right w:val="single" w:sz="8" w:space="0" w:color="000000"/>
            </w:tcBorders>
            <w:tcMar>
              <w:top w:w="0" w:type="dxa"/>
              <w:left w:w="100" w:type="dxa"/>
              <w:bottom w:w="0" w:type="dxa"/>
              <w:right w:w="100" w:type="dxa"/>
            </w:tcMar>
          </w:tcPr>
          <w:p w14:paraId="000001A3"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w:t>
            </w:r>
          </w:p>
        </w:tc>
        <w:tc>
          <w:tcPr>
            <w:tcW w:w="5895" w:type="dxa"/>
            <w:tcBorders>
              <w:bottom w:val="single" w:sz="8" w:space="0" w:color="000000"/>
              <w:right w:val="single" w:sz="8" w:space="0" w:color="000000"/>
            </w:tcBorders>
            <w:tcMar>
              <w:top w:w="0" w:type="dxa"/>
              <w:left w:w="100" w:type="dxa"/>
              <w:bottom w:w="0" w:type="dxa"/>
              <w:right w:w="100" w:type="dxa"/>
            </w:tcMar>
          </w:tcPr>
          <w:p w14:paraId="000001A4"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Obliga a implementar un </w:t>
            </w:r>
            <w:r>
              <w:rPr>
                <w:rFonts w:ascii="Arial Narrow" w:eastAsia="Arial Narrow" w:hAnsi="Arial Narrow" w:cs="Arial Narrow"/>
                <w:b/>
                <w:bCs/>
                <w:sz w:val="22"/>
                <w:szCs w:val="22"/>
              </w:rPr>
              <w:t>Sistema de Control Interno</w:t>
            </w:r>
            <w:r>
              <w:rPr>
                <w:rFonts w:ascii="Arial Narrow" w:eastAsia="Arial Narrow" w:hAnsi="Arial Narrow" w:cs="Arial Narrow"/>
                <w:sz w:val="22"/>
                <w:szCs w:val="22"/>
              </w:rPr>
              <w:t>. Debe incluir un inventario</w:t>
            </w:r>
            <w:r>
              <w:rPr>
                <w:rFonts w:ascii="Arial Narrow" w:eastAsia="Arial Narrow" w:hAnsi="Arial Narrow" w:cs="Arial Narrow"/>
                <w:b/>
                <w:bCs/>
                <w:sz w:val="22"/>
                <w:szCs w:val="22"/>
              </w:rPr>
              <w:t xml:space="preserve"> actualizado </w:t>
            </w:r>
            <w:r>
              <w:rPr>
                <w:rFonts w:ascii="Arial Narrow" w:eastAsia="Arial Narrow" w:hAnsi="Arial Narrow" w:cs="Arial Narrow"/>
                <w:sz w:val="22"/>
                <w:szCs w:val="22"/>
              </w:rPr>
              <w:t>de bienes.</w:t>
            </w:r>
          </w:p>
        </w:tc>
      </w:tr>
      <w:tr w:rsidR="00EF2EEB" w14:paraId="41A04A62"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A5"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Ley 489 de 1998</w:t>
            </w:r>
          </w:p>
        </w:tc>
        <w:tc>
          <w:tcPr>
            <w:tcW w:w="1665" w:type="dxa"/>
            <w:tcBorders>
              <w:bottom w:val="single" w:sz="8" w:space="0" w:color="000000"/>
              <w:right w:val="single" w:sz="8" w:space="0" w:color="000000"/>
            </w:tcBorders>
            <w:tcMar>
              <w:top w:w="0" w:type="dxa"/>
              <w:left w:w="100" w:type="dxa"/>
              <w:bottom w:w="0" w:type="dxa"/>
              <w:right w:w="100" w:type="dxa"/>
            </w:tcMar>
          </w:tcPr>
          <w:p w14:paraId="000001A6"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Art. 38</w:t>
            </w:r>
          </w:p>
        </w:tc>
        <w:tc>
          <w:tcPr>
            <w:tcW w:w="5895" w:type="dxa"/>
            <w:tcBorders>
              <w:bottom w:val="single" w:sz="8" w:space="0" w:color="000000"/>
              <w:right w:val="single" w:sz="8" w:space="0" w:color="000000"/>
            </w:tcBorders>
            <w:tcMar>
              <w:top w:w="0" w:type="dxa"/>
              <w:left w:w="100" w:type="dxa"/>
              <w:bottom w:w="0" w:type="dxa"/>
              <w:right w:w="100" w:type="dxa"/>
            </w:tcMar>
          </w:tcPr>
          <w:p w14:paraId="000001A7"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El alcalde debe ejercer una </w:t>
            </w:r>
            <w:r>
              <w:rPr>
                <w:rFonts w:ascii="Arial Narrow" w:eastAsia="Arial Narrow" w:hAnsi="Arial Narrow" w:cs="Arial Narrow"/>
                <w:b/>
                <w:bCs/>
                <w:sz w:val="22"/>
                <w:szCs w:val="22"/>
              </w:rPr>
              <w:t>administración eficiente del patrimonio público</w:t>
            </w:r>
            <w:r>
              <w:rPr>
                <w:rFonts w:ascii="Arial Narrow" w:eastAsia="Arial Narrow" w:hAnsi="Arial Narrow" w:cs="Arial Narrow"/>
                <w:sz w:val="22"/>
                <w:szCs w:val="22"/>
              </w:rPr>
              <w:t>.</w:t>
            </w:r>
          </w:p>
        </w:tc>
      </w:tr>
    </w:tbl>
    <w:p w14:paraId="000001A8" w14:textId="77777777" w:rsidR="00EF2EEB" w:rsidRDefault="00EF2EEB">
      <w:pPr>
        <w:widowControl w:val="0"/>
        <w:pBdr>
          <w:top w:val="nil"/>
          <w:left w:val="nil"/>
          <w:bottom w:val="nil"/>
          <w:right w:val="nil"/>
          <w:between w:val="nil"/>
        </w:pBdr>
        <w:spacing w:after="0" w:line="276" w:lineRule="auto"/>
        <w:rPr>
          <w:rFonts w:ascii="Arial Narrow" w:eastAsia="Arial Narrow" w:hAnsi="Arial Narrow" w:cs="Arial Narrow"/>
          <w:sz w:val="22"/>
          <w:szCs w:val="22"/>
        </w:rPr>
      </w:pPr>
    </w:p>
    <w:tbl>
      <w:tblPr>
        <w:tblStyle w:val="a9"/>
        <w:tblW w:w="9032"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691"/>
        <w:gridCol w:w="3606"/>
        <w:gridCol w:w="3735"/>
      </w:tblGrid>
      <w:tr w:rsidR="00EF2EEB" w14:paraId="3D525CAE" w14:textId="77777777">
        <w:trPr>
          <w:trHeight w:val="285"/>
          <w:jc w:val="center"/>
        </w:trPr>
        <w:tc>
          <w:tcPr>
            <w:tcW w:w="9032"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tcPr>
          <w:p w14:paraId="000001A9" w14:textId="77777777" w:rsidR="00EF2EEB" w:rsidRDefault="00E57539">
            <w:pPr>
              <w:spacing w:after="0" w:line="240"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Decretos y Resoluciones</w:t>
            </w:r>
          </w:p>
        </w:tc>
      </w:tr>
      <w:tr w:rsidR="00EF2EEB" w14:paraId="1BBA5934" w14:textId="77777777">
        <w:trPr>
          <w:trHeight w:val="136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AC"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Decreto 4054 de 2011</w:t>
            </w:r>
          </w:p>
        </w:tc>
        <w:tc>
          <w:tcPr>
            <w:tcW w:w="3606" w:type="dxa"/>
            <w:tcBorders>
              <w:bottom w:val="single" w:sz="8" w:space="0" w:color="000000"/>
              <w:right w:val="single" w:sz="8" w:space="0" w:color="000000"/>
            </w:tcBorders>
            <w:tcMar>
              <w:top w:w="0" w:type="dxa"/>
              <w:left w:w="100" w:type="dxa"/>
              <w:bottom w:w="0" w:type="dxa"/>
              <w:right w:w="100" w:type="dxa"/>
            </w:tcMar>
          </w:tcPr>
          <w:p w14:paraId="000001AD"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Reglamenta los artículos 8 (Ley 708/2011) y 238 (Ley 1450/2011). Obliga a las entidades públicas a </w:t>
            </w:r>
            <w:r>
              <w:rPr>
                <w:rFonts w:ascii="Arial Narrow" w:eastAsia="Arial Narrow" w:hAnsi="Arial Narrow" w:cs="Arial Narrow"/>
                <w:b/>
                <w:bCs/>
                <w:sz w:val="22"/>
                <w:szCs w:val="22"/>
              </w:rPr>
              <w:t>reportar y actualizar sus</w:t>
            </w:r>
            <w:r>
              <w:rPr>
                <w:rFonts w:ascii="Arial Narrow" w:eastAsia="Arial Narrow" w:hAnsi="Arial Narrow" w:cs="Arial Narrow"/>
                <w:sz w:val="22"/>
                <w:szCs w:val="22"/>
              </w:rPr>
              <w:t xml:space="preserve"> activos fijos inmobiliarios en el </w:t>
            </w:r>
            <w:r>
              <w:rPr>
                <w:rFonts w:ascii="Arial Narrow" w:eastAsia="Arial Narrow" w:hAnsi="Arial Narrow" w:cs="Arial Narrow"/>
                <w:b/>
                <w:bCs/>
                <w:sz w:val="22"/>
                <w:szCs w:val="22"/>
              </w:rPr>
              <w:t>SIGA</w:t>
            </w:r>
            <w:r>
              <w:rPr>
                <w:rFonts w:ascii="Arial Narrow" w:eastAsia="Arial Narrow" w:hAnsi="Arial Narrow" w:cs="Arial Narrow"/>
                <w:sz w:val="22"/>
                <w:szCs w:val="22"/>
              </w:rPr>
              <w:t>.</w:t>
            </w:r>
          </w:p>
        </w:tc>
        <w:tc>
          <w:tcPr>
            <w:tcW w:w="3735" w:type="dxa"/>
            <w:tcBorders>
              <w:bottom w:val="single" w:sz="8" w:space="0" w:color="000000"/>
              <w:right w:val="single" w:sz="8" w:space="0" w:color="000000"/>
            </w:tcBorders>
            <w:tcMar>
              <w:top w:w="0" w:type="dxa"/>
              <w:left w:w="100" w:type="dxa"/>
              <w:bottom w:w="0" w:type="dxa"/>
              <w:right w:w="100" w:type="dxa"/>
            </w:tcMar>
          </w:tcPr>
          <w:p w14:paraId="000001AE"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Reportar y mantener actualizada la información de bienes inmuebles en el Sistema SIGA.</w:t>
            </w:r>
          </w:p>
        </w:tc>
      </w:tr>
      <w:tr w:rsidR="00EF2EEB" w14:paraId="56FCD923" w14:textId="77777777">
        <w:trPr>
          <w:trHeight w:val="109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AF"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Resolución 1040 de 2023</w:t>
            </w:r>
          </w:p>
        </w:tc>
        <w:tc>
          <w:tcPr>
            <w:tcW w:w="3606" w:type="dxa"/>
            <w:tcBorders>
              <w:bottom w:val="single" w:sz="8" w:space="0" w:color="000000"/>
              <w:right w:val="single" w:sz="8" w:space="0" w:color="000000"/>
            </w:tcBorders>
            <w:tcMar>
              <w:top w:w="0" w:type="dxa"/>
              <w:left w:w="100" w:type="dxa"/>
              <w:bottom w:w="0" w:type="dxa"/>
              <w:right w:w="100" w:type="dxa"/>
            </w:tcMar>
          </w:tcPr>
          <w:p w14:paraId="000001B0"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Establece los </w:t>
            </w:r>
            <w:r>
              <w:rPr>
                <w:rFonts w:ascii="Arial Narrow" w:eastAsia="Arial Narrow" w:hAnsi="Arial Narrow" w:cs="Arial Narrow"/>
                <w:b/>
                <w:bCs/>
                <w:sz w:val="22"/>
                <w:szCs w:val="22"/>
              </w:rPr>
              <w:t>lineamientos técnicos y metodológicos</w:t>
            </w:r>
            <w:r>
              <w:rPr>
                <w:rFonts w:ascii="Arial Narrow" w:eastAsia="Arial Narrow" w:hAnsi="Arial Narrow" w:cs="Arial Narrow"/>
                <w:sz w:val="22"/>
                <w:szCs w:val="22"/>
              </w:rPr>
              <w:t xml:space="preserve"> para la </w:t>
            </w:r>
            <w:r>
              <w:rPr>
                <w:rFonts w:ascii="Arial Narrow" w:eastAsia="Arial Narrow" w:hAnsi="Arial Narrow" w:cs="Arial Narrow"/>
                <w:b/>
                <w:bCs/>
                <w:sz w:val="22"/>
                <w:szCs w:val="22"/>
              </w:rPr>
              <w:t>administración y depuración de información catastral</w:t>
            </w:r>
            <w:r>
              <w:rPr>
                <w:rFonts w:ascii="Arial Narrow" w:eastAsia="Arial Narrow" w:hAnsi="Arial Narrow" w:cs="Arial Narrow"/>
                <w:sz w:val="22"/>
                <w:szCs w:val="22"/>
              </w:rPr>
              <w:t>.</w:t>
            </w:r>
          </w:p>
        </w:tc>
        <w:tc>
          <w:tcPr>
            <w:tcW w:w="3735" w:type="dxa"/>
            <w:tcBorders>
              <w:bottom w:val="single" w:sz="8" w:space="0" w:color="000000"/>
              <w:right w:val="single" w:sz="8" w:space="0" w:color="000000"/>
            </w:tcBorders>
            <w:tcMar>
              <w:top w:w="0" w:type="dxa"/>
              <w:left w:w="100" w:type="dxa"/>
              <w:bottom w:w="0" w:type="dxa"/>
              <w:right w:w="100" w:type="dxa"/>
            </w:tcMar>
          </w:tcPr>
          <w:p w14:paraId="000001B1"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Administrar y actualizar correctamente la información catastral del municipio.</w:t>
            </w:r>
          </w:p>
        </w:tc>
      </w:tr>
      <w:tr w:rsidR="00EF2EEB" w14:paraId="3D22E4DD" w14:textId="77777777">
        <w:trPr>
          <w:trHeight w:val="163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B2"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Resolución 743 de 2013</w:t>
            </w:r>
          </w:p>
        </w:tc>
        <w:tc>
          <w:tcPr>
            <w:tcW w:w="3606" w:type="dxa"/>
            <w:tcBorders>
              <w:bottom w:val="single" w:sz="8" w:space="0" w:color="000000"/>
              <w:right w:val="single" w:sz="8" w:space="0" w:color="000000"/>
            </w:tcBorders>
            <w:tcMar>
              <w:top w:w="0" w:type="dxa"/>
              <w:left w:w="100" w:type="dxa"/>
              <w:bottom w:w="0" w:type="dxa"/>
              <w:right w:w="100" w:type="dxa"/>
            </w:tcMar>
          </w:tcPr>
          <w:p w14:paraId="000001B3"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Establece el </w:t>
            </w:r>
            <w:r>
              <w:rPr>
                <w:rFonts w:ascii="Arial Narrow" w:eastAsia="Arial Narrow" w:hAnsi="Arial Narrow" w:cs="Arial Narrow"/>
                <w:b/>
                <w:bCs/>
                <w:sz w:val="22"/>
                <w:szCs w:val="22"/>
              </w:rPr>
              <w:t>Marco Normativo para Entidades del Gobierno</w:t>
            </w:r>
            <w:r>
              <w:rPr>
                <w:rFonts w:ascii="Arial Narrow" w:eastAsia="Arial Narrow" w:hAnsi="Arial Narrow" w:cs="Arial Narrow"/>
                <w:sz w:val="22"/>
                <w:szCs w:val="22"/>
              </w:rPr>
              <w:t xml:space="preserve"> (criterios contables para bienes públicos).</w:t>
            </w:r>
          </w:p>
        </w:tc>
        <w:tc>
          <w:tcPr>
            <w:tcW w:w="3735" w:type="dxa"/>
            <w:tcBorders>
              <w:bottom w:val="single" w:sz="8" w:space="0" w:color="000000"/>
              <w:right w:val="single" w:sz="8" w:space="0" w:color="000000"/>
            </w:tcBorders>
            <w:tcMar>
              <w:top w:w="0" w:type="dxa"/>
              <w:left w:w="100" w:type="dxa"/>
              <w:bottom w:w="0" w:type="dxa"/>
              <w:right w:w="100" w:type="dxa"/>
            </w:tcMar>
          </w:tcPr>
          <w:p w14:paraId="000001B4" w14:textId="31AED6F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Mantener actualizado el </w:t>
            </w:r>
            <w:r>
              <w:rPr>
                <w:rFonts w:ascii="Arial Narrow" w:eastAsia="Arial Narrow" w:hAnsi="Arial Narrow" w:cs="Arial Narrow"/>
                <w:b/>
                <w:bCs/>
                <w:sz w:val="22"/>
                <w:szCs w:val="22"/>
              </w:rPr>
              <w:t xml:space="preserve">inventario </w:t>
            </w:r>
            <w:r>
              <w:rPr>
                <w:rFonts w:ascii="Arial Narrow" w:eastAsia="Arial Narrow" w:hAnsi="Arial Narrow" w:cs="Arial Narrow"/>
                <w:sz w:val="22"/>
                <w:szCs w:val="22"/>
              </w:rPr>
              <w:t>de bienes muebles, inmuebles, de uso público e intangibles. El inventario debe estar conciliado con los registros contables.</w:t>
            </w:r>
          </w:p>
        </w:tc>
      </w:tr>
      <w:tr w:rsidR="00EF2EEB" w14:paraId="7EB2C142" w14:textId="77777777">
        <w:trPr>
          <w:trHeight w:val="109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B5" w14:textId="77777777" w:rsidR="00EF2EEB" w:rsidRDefault="00E57539">
            <w:pPr>
              <w:spacing w:after="0" w:line="240"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Obligación del Municipio</w:t>
            </w:r>
          </w:p>
        </w:tc>
        <w:tc>
          <w:tcPr>
            <w:tcW w:w="3606" w:type="dxa"/>
            <w:tcBorders>
              <w:bottom w:val="single" w:sz="8" w:space="0" w:color="000000"/>
              <w:right w:val="single" w:sz="8" w:space="0" w:color="000000"/>
            </w:tcBorders>
            <w:tcMar>
              <w:top w:w="0" w:type="dxa"/>
              <w:left w:w="100" w:type="dxa"/>
              <w:bottom w:w="0" w:type="dxa"/>
              <w:right w:w="100" w:type="dxa"/>
            </w:tcMar>
          </w:tcPr>
          <w:p w14:paraId="000001B6" w14:textId="77777777"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Derivadas de la Resolución 743 de 2013.</w:t>
            </w:r>
          </w:p>
        </w:tc>
        <w:tc>
          <w:tcPr>
            <w:tcW w:w="3735" w:type="dxa"/>
            <w:tcBorders>
              <w:bottom w:val="single" w:sz="8" w:space="0" w:color="000000"/>
              <w:right w:val="single" w:sz="8" w:space="0" w:color="000000"/>
            </w:tcBorders>
            <w:tcMar>
              <w:top w:w="0" w:type="dxa"/>
              <w:left w:w="100" w:type="dxa"/>
              <w:bottom w:w="0" w:type="dxa"/>
              <w:right w:w="100" w:type="dxa"/>
            </w:tcMar>
          </w:tcPr>
          <w:p w14:paraId="000001B7" w14:textId="2A902151" w:rsidR="00EF2EEB" w:rsidRDefault="00E57539">
            <w:pPr>
              <w:spacing w:after="0" w:line="240"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El </w:t>
            </w:r>
            <w:r>
              <w:rPr>
                <w:rFonts w:ascii="Arial Narrow" w:eastAsia="Arial Narrow" w:hAnsi="Arial Narrow" w:cs="Arial Narrow"/>
                <w:b/>
                <w:bCs/>
                <w:sz w:val="22"/>
                <w:szCs w:val="22"/>
              </w:rPr>
              <w:t>alcalde</w:t>
            </w:r>
            <w:r>
              <w:rPr>
                <w:rFonts w:ascii="Arial Narrow" w:eastAsia="Arial Narrow" w:hAnsi="Arial Narrow" w:cs="Arial Narrow"/>
                <w:sz w:val="22"/>
                <w:szCs w:val="22"/>
              </w:rPr>
              <w:t xml:space="preserve"> es responsable de asegurar el cumplimiento del inventario, con soporte contable y físico.</w:t>
            </w:r>
          </w:p>
        </w:tc>
      </w:tr>
    </w:tbl>
    <w:p w14:paraId="000001B8" w14:textId="77777777" w:rsidR="00EF2EEB" w:rsidRPr="00513CB3" w:rsidRDefault="00E57539">
      <w:pPr>
        <w:jc w:val="center"/>
        <w:rPr>
          <w:rFonts w:ascii="Arial" w:hAnsi="Arial" w:cs="Arial"/>
          <w:sz w:val="18"/>
          <w:szCs w:val="18"/>
        </w:rPr>
      </w:pPr>
      <w:bookmarkStart w:id="59" w:name="_heading=h.rktf74v2noxo" w:colFirst="0" w:colLast="0"/>
      <w:bookmarkEnd w:id="59"/>
      <w:r w:rsidRPr="00513CB3">
        <w:rPr>
          <w:rFonts w:ascii="Arial" w:hAnsi="Arial" w:cs="Arial"/>
          <w:sz w:val="18"/>
          <w:szCs w:val="18"/>
        </w:rPr>
        <w:t>Fuente: Elaboración propia tomada de las normas</w:t>
      </w:r>
    </w:p>
    <w:p w14:paraId="000001B9" w14:textId="77777777" w:rsidR="00EF2EEB" w:rsidRDefault="00EF2EEB">
      <w:pPr>
        <w:rPr>
          <w:rFonts w:ascii="Arial Narrow" w:eastAsia="Arial Narrow" w:hAnsi="Arial Narrow" w:cs="Arial Narrow"/>
        </w:rPr>
      </w:pPr>
    </w:p>
    <w:p w14:paraId="000001BA" w14:textId="77777777" w:rsidR="00EF2EEB" w:rsidRDefault="00EF2EEB">
      <w:pPr>
        <w:rPr>
          <w:rFonts w:ascii="Arial Narrow" w:eastAsia="Arial Narrow" w:hAnsi="Arial Narrow" w:cs="Arial Narrow"/>
        </w:rPr>
      </w:pPr>
    </w:p>
    <w:p w14:paraId="000001BB" w14:textId="77777777" w:rsidR="00EF2EEB" w:rsidRDefault="00EF2EEB">
      <w:pPr>
        <w:rPr>
          <w:rFonts w:ascii="Arial Narrow" w:eastAsia="Arial Narrow" w:hAnsi="Arial Narrow" w:cs="Arial Narrow"/>
        </w:rPr>
      </w:pPr>
    </w:p>
    <w:p w14:paraId="000001BC" w14:textId="77777777" w:rsidR="00EF2EEB" w:rsidRDefault="00E57539">
      <w:pPr>
        <w:jc w:val="center"/>
        <w:rPr>
          <w:rFonts w:ascii="Arial" w:eastAsia="Arial" w:hAnsi="Arial" w:cs="Arial"/>
          <w:b/>
          <w:bCs/>
        </w:rPr>
      </w:pPr>
      <w:r>
        <w:rPr>
          <w:rFonts w:ascii="Arial" w:eastAsia="Arial" w:hAnsi="Arial" w:cs="Arial"/>
          <w:b/>
          <w:bCs/>
        </w:rPr>
        <w:lastRenderedPageBreak/>
        <w:t>Anexo 2. Check list conformación de inventario y asignación de ruta de saneamiento</w:t>
      </w:r>
    </w:p>
    <w:p w14:paraId="000001BD" w14:textId="77777777" w:rsidR="00EF2EEB" w:rsidRDefault="00E57539">
      <w:pPr>
        <w:jc w:val="center"/>
        <w:rPr>
          <w:rFonts w:ascii="Arial" w:eastAsia="Arial" w:hAnsi="Arial" w:cs="Arial"/>
          <w:b/>
          <w:bCs/>
        </w:rPr>
      </w:pPr>
      <w:r>
        <w:rPr>
          <w:rFonts w:ascii="Arial Narrow" w:eastAsia="Arial Narrow" w:hAnsi="Arial Narrow" w:cs="Arial Narrow"/>
          <w:b/>
          <w:bCs/>
          <w:noProof/>
        </w:rPr>
        <w:drawing>
          <wp:inline distT="114300" distB="114300" distL="114300" distR="114300" wp14:anchorId="76D4A657" wp14:editId="56FE521D">
            <wp:extent cx="4117975" cy="5514857"/>
            <wp:effectExtent l="0" t="0" r="0" b="0"/>
            <wp:docPr id="1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1"/>
                    <a:srcRect/>
                    <a:stretch>
                      <a:fillRect/>
                    </a:stretch>
                  </pic:blipFill>
                  <pic:spPr>
                    <a:xfrm>
                      <a:off x="0" y="0"/>
                      <a:ext cx="4117975" cy="5514857"/>
                    </a:xfrm>
                    <a:prstGeom prst="rect">
                      <a:avLst/>
                    </a:prstGeom>
                    <a:ln/>
                  </pic:spPr>
                </pic:pic>
              </a:graphicData>
            </a:graphic>
          </wp:inline>
        </w:drawing>
      </w:r>
    </w:p>
    <w:p w14:paraId="000001BE" w14:textId="77777777" w:rsidR="00EF2EEB" w:rsidRDefault="00EF2EEB">
      <w:pPr>
        <w:jc w:val="center"/>
        <w:rPr>
          <w:rFonts w:ascii="Arial" w:eastAsia="Arial" w:hAnsi="Arial" w:cs="Arial"/>
          <w:b/>
          <w:bCs/>
        </w:rPr>
      </w:pPr>
    </w:p>
    <w:p w14:paraId="000001BF" w14:textId="77777777" w:rsidR="00EF2EEB" w:rsidRDefault="00EF2EEB">
      <w:pPr>
        <w:jc w:val="center"/>
        <w:rPr>
          <w:rFonts w:ascii="Arial" w:eastAsia="Arial" w:hAnsi="Arial" w:cs="Arial"/>
          <w:b/>
          <w:bCs/>
        </w:rPr>
      </w:pPr>
    </w:p>
    <w:p w14:paraId="000001C0" w14:textId="77777777" w:rsidR="00EF2EEB" w:rsidRDefault="00EF2EEB">
      <w:pPr>
        <w:rPr>
          <w:rFonts w:ascii="Arial" w:eastAsia="Arial" w:hAnsi="Arial" w:cs="Arial"/>
          <w:b/>
          <w:bCs/>
        </w:rPr>
      </w:pPr>
    </w:p>
    <w:p w14:paraId="000001C1" w14:textId="77777777" w:rsidR="00EF2EEB" w:rsidRDefault="00EF2EEB">
      <w:pPr>
        <w:jc w:val="center"/>
        <w:rPr>
          <w:rFonts w:ascii="Arial" w:eastAsia="Arial" w:hAnsi="Arial" w:cs="Arial"/>
          <w:b/>
          <w:bCs/>
        </w:rPr>
      </w:pPr>
    </w:p>
    <w:p w14:paraId="000001C2" w14:textId="77777777" w:rsidR="00EF2EEB" w:rsidRDefault="00000000">
      <w:pPr>
        <w:jc w:val="center"/>
        <w:rPr>
          <w:rFonts w:ascii="Arial Narrow" w:eastAsia="Arial Narrow" w:hAnsi="Arial Narrow" w:cs="Arial Narrow"/>
          <w:b/>
          <w:bCs/>
        </w:rPr>
      </w:pPr>
      <w:sdt>
        <w:sdtPr>
          <w:tag w:val="goog_rdk_4"/>
          <w:id w:val="1816205237"/>
        </w:sdtPr>
        <w:sdtContent/>
      </w:sdt>
      <w:r w:rsidR="00E57539">
        <w:rPr>
          <w:rFonts w:ascii="Arial" w:eastAsia="Arial" w:hAnsi="Arial" w:cs="Arial"/>
          <w:b/>
          <w:bCs/>
        </w:rPr>
        <w:t>Anexo No 3. PlantillaIP</w:t>
      </w:r>
    </w:p>
    <w:p w14:paraId="000001C3" w14:textId="77777777" w:rsidR="00EF2EEB" w:rsidRPr="0094202E" w:rsidRDefault="00E57539" w:rsidP="0094202E">
      <w:pPr>
        <w:jc w:val="both"/>
        <w:rPr>
          <w:rFonts w:ascii="Arial" w:hAnsi="Arial" w:cs="Arial"/>
          <w:b/>
          <w:bCs/>
        </w:rPr>
      </w:pPr>
      <w:bookmarkStart w:id="60" w:name="_heading=h.mxhlgcfyumvj" w:colFirst="0" w:colLast="0"/>
      <w:bookmarkEnd w:id="60"/>
      <w:r w:rsidRPr="0094202E">
        <w:rPr>
          <w:rFonts w:ascii="Arial" w:hAnsi="Arial" w:cs="Arial"/>
        </w:rPr>
        <w:t xml:space="preserve">Corresponde a una plantilla en formato de hoja de cálculo denominada </w:t>
      </w:r>
      <w:r w:rsidRPr="0094202E">
        <w:rPr>
          <w:rFonts w:ascii="Arial" w:hAnsi="Arial" w:cs="Arial"/>
          <w:i/>
          <w:iCs/>
        </w:rPr>
        <w:t>PlantillaIP.xlsx</w:t>
      </w:r>
      <w:r w:rsidRPr="0094202E">
        <w:rPr>
          <w:rFonts w:ascii="Arial" w:hAnsi="Arial" w:cs="Arial"/>
        </w:rPr>
        <w:t>, la cual contiene la estructura básica recomendada para la conformación inicial del inventario. Esta plantilla incorpora los atributos mínimos definidos previamente, junto con sus respectivos dominios, facilitando la organización, estandarización y carga de la información por parte del municipio</w:t>
      </w:r>
      <w:r w:rsidRPr="0094202E">
        <w:rPr>
          <w:rFonts w:ascii="Arial" w:hAnsi="Arial" w:cs="Arial"/>
          <w:b/>
          <w:bCs/>
        </w:rPr>
        <w:t>.</w:t>
      </w:r>
    </w:p>
    <w:p w14:paraId="000001C4" w14:textId="77777777" w:rsidR="00EF2EEB" w:rsidRDefault="00EF2EEB"/>
    <w:p w14:paraId="000001C5" w14:textId="431CBBB9" w:rsidR="00EF2EEB" w:rsidRDefault="00FE33D6" w:rsidP="004101FA">
      <w:pPr>
        <w:jc w:val="center"/>
      </w:pPr>
      <w:r>
        <w:rPr>
          <w:noProof/>
        </w:rPr>
        <w:drawing>
          <wp:inline distT="0" distB="0" distL="0" distR="0" wp14:anchorId="405A8BA3" wp14:editId="61A8D3DF">
            <wp:extent cx="1437639" cy="1440000"/>
            <wp:effectExtent l="0" t="0" r="0" b="8255"/>
            <wp:docPr id="544921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2179" name="Imagen 5449217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37639" cy="1440000"/>
                    </a:xfrm>
                    <a:prstGeom prst="rect">
                      <a:avLst/>
                    </a:prstGeom>
                  </pic:spPr>
                </pic:pic>
              </a:graphicData>
            </a:graphic>
          </wp:inline>
        </w:drawing>
      </w:r>
    </w:p>
    <w:p w14:paraId="000001C6" w14:textId="77777777" w:rsidR="00EF2EEB" w:rsidRDefault="00EF2EEB"/>
    <w:p w14:paraId="000001C7" w14:textId="77777777" w:rsidR="00EF2EEB" w:rsidRDefault="00EF2EEB"/>
    <w:p w14:paraId="000001C8" w14:textId="77777777" w:rsidR="00EF2EEB" w:rsidRDefault="00EF2EEB"/>
    <w:p w14:paraId="000001C9" w14:textId="77777777" w:rsidR="00EF2EEB" w:rsidRDefault="00EF2EEB"/>
    <w:p w14:paraId="000001CA" w14:textId="77777777" w:rsidR="00EF2EEB" w:rsidRDefault="00EF2EEB"/>
    <w:p w14:paraId="000001CB" w14:textId="77777777" w:rsidR="00EF2EEB" w:rsidRDefault="00EF2EEB"/>
    <w:p w14:paraId="000001CC" w14:textId="77777777" w:rsidR="00EF2EEB" w:rsidRDefault="00EF2EEB"/>
    <w:p w14:paraId="65E0F05D" w14:textId="77777777" w:rsidR="004101FA" w:rsidRDefault="004101FA"/>
    <w:p w14:paraId="0E0C0F15" w14:textId="77777777" w:rsidR="004101FA" w:rsidRDefault="004101FA"/>
    <w:p w14:paraId="000001CD" w14:textId="77777777" w:rsidR="00EF2EEB" w:rsidRDefault="00EF2EEB"/>
    <w:p w14:paraId="420527FF" w14:textId="77777777" w:rsidR="004E72F4" w:rsidRDefault="004E72F4"/>
    <w:p w14:paraId="000001CE" w14:textId="6892C552" w:rsidR="00EF2EEB" w:rsidRDefault="00000000">
      <w:pPr>
        <w:jc w:val="center"/>
        <w:rPr>
          <w:rFonts w:ascii="Arial" w:eastAsia="Arial" w:hAnsi="Arial" w:cs="Arial"/>
        </w:rPr>
      </w:pPr>
      <w:sdt>
        <w:sdtPr>
          <w:tag w:val="goog_rdk_5"/>
          <w:id w:val="1964926327"/>
          <w:showingPlcHdr/>
        </w:sdtPr>
        <w:sdtContent>
          <w:r w:rsidR="00FE33D6">
            <w:t xml:space="preserve">     </w:t>
          </w:r>
        </w:sdtContent>
      </w:sdt>
      <w:r w:rsidR="00E57539">
        <w:rPr>
          <w:rFonts w:ascii="Arial" w:eastAsia="Arial" w:hAnsi="Arial" w:cs="Arial"/>
          <w:b/>
          <w:bCs/>
        </w:rPr>
        <w:t>Anexo No 4. Diccionario de datos</w:t>
      </w:r>
    </w:p>
    <w:p w14:paraId="000001CF" w14:textId="77777777" w:rsidR="00EF2EEB" w:rsidRDefault="00EF2EEB">
      <w:pPr>
        <w:spacing w:line="276" w:lineRule="auto"/>
        <w:jc w:val="both"/>
        <w:rPr>
          <w:rFonts w:ascii="Arial" w:eastAsia="Arial" w:hAnsi="Arial" w:cs="Arial"/>
          <w:b/>
          <w:bCs/>
        </w:rPr>
      </w:pPr>
      <w:bookmarkStart w:id="61" w:name="_heading=h.kjswpprt3sre" w:colFirst="0" w:colLast="0"/>
      <w:bookmarkEnd w:id="61"/>
    </w:p>
    <w:p w14:paraId="000001D0" w14:textId="5DFA0B96" w:rsidR="00EF2EEB" w:rsidRDefault="00E57539">
      <w:pPr>
        <w:spacing w:line="276" w:lineRule="auto"/>
        <w:jc w:val="both"/>
        <w:rPr>
          <w:rFonts w:ascii="Arial" w:eastAsia="Arial" w:hAnsi="Arial" w:cs="Arial"/>
          <w:b/>
          <w:bCs/>
        </w:rPr>
      </w:pPr>
      <w:bookmarkStart w:id="62" w:name="_heading=h.lqeeyyvn3xx5" w:colFirst="0" w:colLast="0"/>
      <w:bookmarkEnd w:id="62"/>
      <w:r>
        <w:rPr>
          <w:rFonts w:ascii="Arial" w:eastAsia="Arial" w:hAnsi="Arial" w:cs="Arial"/>
        </w:rPr>
        <w:t>Diccionario de datos de la base de datos para la conformación del Inventar</w:t>
      </w:r>
      <w:r w:rsidR="006C1FB1">
        <w:rPr>
          <w:rFonts w:ascii="Arial" w:eastAsia="Arial" w:hAnsi="Arial" w:cs="Arial"/>
        </w:rPr>
        <w:t xml:space="preserve">io Municipal </w:t>
      </w:r>
      <w:r>
        <w:rPr>
          <w:rFonts w:ascii="Arial" w:eastAsia="Arial" w:hAnsi="Arial" w:cs="Arial"/>
        </w:rPr>
        <w:t>Inmobiliario como documento que describe detalladamente la estructura, clases, campos, tipos de datos, restricciones y relaciones de la base de datos propuesta por Ciudata+.</w:t>
      </w:r>
    </w:p>
    <w:p w14:paraId="000001D1" w14:textId="77777777" w:rsidR="00EF2EEB" w:rsidRDefault="00EF2EEB">
      <w:pPr>
        <w:rPr>
          <w:rFonts w:ascii="Arial Narrow" w:eastAsia="Arial Narrow" w:hAnsi="Arial Narrow" w:cs="Arial Narrow"/>
          <w:b/>
          <w:bCs/>
        </w:rPr>
      </w:pPr>
    </w:p>
    <w:p w14:paraId="000001D2" w14:textId="6D44E267" w:rsidR="00EF2EEB" w:rsidRDefault="008C1895">
      <w:pPr>
        <w:spacing w:after="0" w:line="276" w:lineRule="auto"/>
        <w:jc w:val="center"/>
        <w:rPr>
          <w:rFonts w:ascii="Arial Narrow" w:eastAsia="Arial Narrow" w:hAnsi="Arial Narrow" w:cs="Arial Narrow"/>
          <w:sz w:val="18"/>
          <w:szCs w:val="18"/>
        </w:rPr>
      </w:pPr>
      <w:r w:rsidRPr="008C1895">
        <w:rPr>
          <w:rFonts w:ascii="Arial Narrow" w:eastAsia="Arial Narrow" w:hAnsi="Arial Narrow" w:cs="Arial Narrow"/>
          <w:sz w:val="18"/>
          <w:szCs w:val="18"/>
        </w:rPr>
        <w:drawing>
          <wp:inline distT="0" distB="0" distL="0" distR="0" wp14:anchorId="06AE70AC" wp14:editId="20F7DCC8">
            <wp:extent cx="1428158" cy="1440000"/>
            <wp:effectExtent l="0" t="0" r="635" b="8255"/>
            <wp:docPr id="18362226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22608" name=""/>
                    <pic:cNvPicPr/>
                  </pic:nvPicPr>
                  <pic:blipFill>
                    <a:blip r:embed="rId23"/>
                    <a:stretch>
                      <a:fillRect/>
                    </a:stretch>
                  </pic:blipFill>
                  <pic:spPr>
                    <a:xfrm>
                      <a:off x="0" y="0"/>
                      <a:ext cx="1428158" cy="1440000"/>
                    </a:xfrm>
                    <a:prstGeom prst="rect">
                      <a:avLst/>
                    </a:prstGeom>
                  </pic:spPr>
                </pic:pic>
              </a:graphicData>
            </a:graphic>
          </wp:inline>
        </w:drawing>
      </w:r>
    </w:p>
    <w:p w14:paraId="000001D3" w14:textId="77777777" w:rsidR="00EF2EEB" w:rsidRDefault="00EF2EEB">
      <w:pPr>
        <w:rPr>
          <w:rFonts w:ascii="Arial Narrow" w:eastAsia="Arial Narrow" w:hAnsi="Arial Narrow" w:cs="Arial Narrow"/>
          <w:b/>
          <w:bCs/>
        </w:rPr>
      </w:pPr>
    </w:p>
    <w:p w14:paraId="000001D4" w14:textId="5FDD9BE0" w:rsidR="00EF2EEB" w:rsidRDefault="00EF2EEB" w:rsidP="004101FA">
      <w:pPr>
        <w:jc w:val="center"/>
        <w:rPr>
          <w:rFonts w:ascii="Arial Narrow" w:eastAsia="Arial Narrow" w:hAnsi="Arial Narrow" w:cs="Arial Narrow"/>
          <w:b/>
          <w:bCs/>
        </w:rPr>
      </w:pPr>
    </w:p>
    <w:p w14:paraId="000001D5" w14:textId="77777777" w:rsidR="00EF2EEB" w:rsidRDefault="00EF2EEB">
      <w:pPr>
        <w:rPr>
          <w:rFonts w:ascii="Arial Narrow" w:eastAsia="Arial Narrow" w:hAnsi="Arial Narrow" w:cs="Arial Narrow"/>
          <w:b/>
          <w:bCs/>
        </w:rPr>
      </w:pPr>
    </w:p>
    <w:p w14:paraId="000001D6" w14:textId="77777777" w:rsidR="00EF2EEB" w:rsidRDefault="00EF2EEB">
      <w:pPr>
        <w:jc w:val="center"/>
        <w:rPr>
          <w:rFonts w:ascii="Arial" w:eastAsia="Arial" w:hAnsi="Arial" w:cs="Arial"/>
          <w:b/>
          <w:bCs/>
        </w:rPr>
      </w:pPr>
    </w:p>
    <w:p w14:paraId="000001D7" w14:textId="77777777" w:rsidR="00EF2EEB" w:rsidRDefault="00EF2EEB">
      <w:pPr>
        <w:jc w:val="center"/>
        <w:rPr>
          <w:rFonts w:ascii="Arial" w:eastAsia="Arial" w:hAnsi="Arial" w:cs="Arial"/>
          <w:b/>
          <w:bCs/>
        </w:rPr>
      </w:pPr>
    </w:p>
    <w:p w14:paraId="000001D8" w14:textId="77777777" w:rsidR="00EF2EEB" w:rsidRDefault="00EF2EEB">
      <w:pPr>
        <w:jc w:val="center"/>
        <w:rPr>
          <w:rFonts w:ascii="Arial" w:eastAsia="Arial" w:hAnsi="Arial" w:cs="Arial"/>
          <w:b/>
          <w:bCs/>
        </w:rPr>
        <w:sectPr w:rsidR="00EF2EEB" w:rsidSect="009805F8">
          <w:pgSz w:w="12240" w:h="15840"/>
          <w:pgMar w:top="1417" w:right="1185" w:bottom="1417" w:left="1700" w:header="708" w:footer="708" w:gutter="0"/>
          <w:cols w:space="720"/>
        </w:sectPr>
      </w:pPr>
    </w:p>
    <w:p w14:paraId="000001D9" w14:textId="481A01FD" w:rsidR="00EF2EEB" w:rsidRDefault="00000000">
      <w:pPr>
        <w:jc w:val="center"/>
        <w:rPr>
          <w:rFonts w:ascii="Arial" w:eastAsia="Arial" w:hAnsi="Arial" w:cs="Arial"/>
          <w:b/>
          <w:bCs/>
        </w:rPr>
      </w:pPr>
      <w:sdt>
        <w:sdtPr>
          <w:tag w:val="goog_rdk_6"/>
          <w:id w:val="2032865909"/>
          <w:showingPlcHdr/>
        </w:sdtPr>
        <w:sdtContent>
          <w:r w:rsidR="00D7638B">
            <w:t xml:space="preserve">     </w:t>
          </w:r>
        </w:sdtContent>
      </w:sdt>
      <w:r w:rsidR="00E57539">
        <w:rPr>
          <w:rFonts w:ascii="Arial" w:eastAsia="Arial" w:hAnsi="Arial" w:cs="Arial"/>
          <w:b/>
          <w:bCs/>
        </w:rPr>
        <w:t>Anexo No 5. Diagrama UML</w:t>
      </w:r>
    </w:p>
    <w:p w14:paraId="000001DA" w14:textId="77777777" w:rsidR="00EF2EEB" w:rsidRDefault="00EF2EEB">
      <w:pPr>
        <w:rPr>
          <w:rFonts w:ascii="Arial" w:eastAsia="Arial" w:hAnsi="Arial" w:cs="Arial"/>
          <w:b/>
          <w:bCs/>
        </w:rPr>
      </w:pPr>
    </w:p>
    <w:p w14:paraId="000001DB" w14:textId="21A15BD9" w:rsidR="00EF2EEB" w:rsidRDefault="00483034" w:rsidP="00D7638B">
      <w:bookmarkStart w:id="63" w:name="_heading=h.ka0pqvklcrmo" w:colFirst="0" w:colLast="0"/>
      <w:bookmarkEnd w:id="63"/>
      <w:r w:rsidRPr="000A48BE">
        <w:rPr>
          <w:rFonts w:ascii="Arial Narrow" w:eastAsia="Arial Narrow" w:hAnsi="Arial Narrow" w:cs="Arial Narrow"/>
          <w:b/>
          <w:bCs/>
        </w:rPr>
        <w:drawing>
          <wp:anchor distT="0" distB="0" distL="114300" distR="114300" simplePos="0" relativeHeight="251664896" behindDoc="0" locked="0" layoutInCell="1" allowOverlap="1" wp14:anchorId="124C2EC1" wp14:editId="464D6295">
            <wp:simplePos x="0" y="0"/>
            <wp:positionH relativeFrom="column">
              <wp:posOffset>6746240</wp:posOffset>
            </wp:positionH>
            <wp:positionV relativeFrom="paragraph">
              <wp:posOffset>2363470</wp:posOffset>
            </wp:positionV>
            <wp:extent cx="1437620" cy="1440000"/>
            <wp:effectExtent l="0" t="0" r="0" b="8255"/>
            <wp:wrapNone/>
            <wp:docPr id="1012844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84468"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37620" cy="1440000"/>
                    </a:xfrm>
                    <a:prstGeom prst="rect">
                      <a:avLst/>
                    </a:prstGeom>
                  </pic:spPr>
                </pic:pic>
              </a:graphicData>
            </a:graphic>
            <wp14:sizeRelH relativeFrom="page">
              <wp14:pctWidth>0</wp14:pctWidth>
            </wp14:sizeRelH>
            <wp14:sizeRelV relativeFrom="page">
              <wp14:pctHeight>0</wp14:pctHeight>
            </wp14:sizeRelV>
          </wp:anchor>
        </w:drawing>
      </w:r>
      <w:r w:rsidR="00E57539">
        <w:rPr>
          <w:noProof/>
        </w:rPr>
        <w:drawing>
          <wp:inline distT="114300" distB="114300" distL="114300" distR="114300" wp14:anchorId="51D311E7" wp14:editId="1AAAF5FD">
            <wp:extent cx="8226425" cy="276860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a:srcRect/>
                    <a:stretch>
                      <a:fillRect/>
                    </a:stretch>
                  </pic:blipFill>
                  <pic:spPr>
                    <a:xfrm>
                      <a:off x="0" y="0"/>
                      <a:ext cx="8226425" cy="2768600"/>
                    </a:xfrm>
                    <a:prstGeom prst="rect">
                      <a:avLst/>
                    </a:prstGeom>
                    <a:ln/>
                  </pic:spPr>
                </pic:pic>
              </a:graphicData>
            </a:graphic>
          </wp:inline>
        </w:drawing>
      </w:r>
    </w:p>
    <w:p w14:paraId="000001DC" w14:textId="5040CAE5" w:rsidR="00EF2EEB" w:rsidRDefault="00EF2EEB">
      <w:pPr>
        <w:rPr>
          <w:rFonts w:ascii="Arial Narrow" w:eastAsia="Arial Narrow" w:hAnsi="Arial Narrow" w:cs="Arial Narrow"/>
          <w:b/>
          <w:bCs/>
        </w:rPr>
      </w:pPr>
    </w:p>
    <w:p w14:paraId="000001DD" w14:textId="0EBA7183" w:rsidR="00EF2EEB" w:rsidRDefault="00EF2EEB">
      <w:pPr>
        <w:rPr>
          <w:rFonts w:ascii="Arial Narrow" w:eastAsia="Arial Narrow" w:hAnsi="Arial Narrow" w:cs="Arial Narrow"/>
          <w:b/>
          <w:bCs/>
        </w:rPr>
      </w:pPr>
    </w:p>
    <w:p w14:paraId="000001DE" w14:textId="77777777" w:rsidR="00EF2EEB" w:rsidRDefault="00EF2EEB">
      <w:pPr>
        <w:rPr>
          <w:rFonts w:ascii="Arial Narrow" w:eastAsia="Arial Narrow" w:hAnsi="Arial Narrow" w:cs="Arial Narrow"/>
          <w:b/>
          <w:bCs/>
        </w:rPr>
      </w:pPr>
    </w:p>
    <w:p w14:paraId="000001DF" w14:textId="77777777" w:rsidR="00EF2EEB" w:rsidRDefault="00EF2EEB">
      <w:pPr>
        <w:rPr>
          <w:rFonts w:ascii="Arial Narrow" w:eastAsia="Arial Narrow" w:hAnsi="Arial Narrow" w:cs="Arial Narrow"/>
          <w:b/>
          <w:bCs/>
        </w:rPr>
        <w:sectPr w:rsidR="00EF2EEB">
          <w:pgSz w:w="15840" w:h="12240" w:orient="landscape"/>
          <w:pgMar w:top="1417" w:right="1185" w:bottom="1417" w:left="1700" w:header="708" w:footer="708" w:gutter="0"/>
          <w:cols w:space="720"/>
        </w:sectPr>
      </w:pPr>
    </w:p>
    <w:p w14:paraId="000001E0" w14:textId="69642568" w:rsidR="00EF2EEB" w:rsidRDefault="00E57539">
      <w:pPr>
        <w:jc w:val="center"/>
        <w:rPr>
          <w:rFonts w:ascii="Arial" w:eastAsia="Arial" w:hAnsi="Arial" w:cs="Arial"/>
          <w:b/>
          <w:bCs/>
        </w:rPr>
      </w:pPr>
      <w:r>
        <w:rPr>
          <w:rFonts w:ascii="Arial" w:eastAsia="Arial" w:hAnsi="Arial" w:cs="Arial"/>
          <w:b/>
          <w:bCs/>
        </w:rPr>
        <w:lastRenderedPageBreak/>
        <w:t xml:space="preserve">Anexo No 6. Instructivo técnico para diligenciar la PlantillaIP y migrar el Inventario </w:t>
      </w:r>
      <w:r w:rsidR="00407DAA">
        <w:rPr>
          <w:rFonts w:ascii="Arial" w:eastAsia="Arial" w:hAnsi="Arial" w:cs="Arial"/>
          <w:b/>
          <w:bCs/>
        </w:rPr>
        <w:t>Municipal Inmobiliario</w:t>
      </w:r>
      <w:r>
        <w:rPr>
          <w:rFonts w:ascii="Arial" w:eastAsia="Arial" w:hAnsi="Arial" w:cs="Arial"/>
          <w:b/>
          <w:bCs/>
        </w:rPr>
        <w:t xml:space="preserve"> a una base de datos geográfica</w:t>
      </w:r>
    </w:p>
    <w:p w14:paraId="000001E1" w14:textId="7A84DDD7" w:rsidR="00EF2EEB" w:rsidRDefault="00E57539">
      <w:pPr>
        <w:spacing w:after="0"/>
        <w:jc w:val="both"/>
        <w:rPr>
          <w:rFonts w:ascii="Arial Narrow" w:eastAsia="Arial Narrow" w:hAnsi="Arial Narrow" w:cs="Arial Narrow"/>
          <w:b/>
          <w:bCs/>
        </w:rPr>
      </w:pPr>
      <w:r>
        <w:rPr>
          <w:rFonts w:ascii="Arial" w:eastAsia="Arial" w:hAnsi="Arial" w:cs="Arial"/>
        </w:rPr>
        <w:t xml:space="preserve">El instructivo orienta a las administraciones municipales en la estructuración inicial del inventario mediante una plantilla en Excel denominada PlantillaIP y su posterior migración a una base de datos geográfica en PostgreSQL/PostGIS, basada en la propuesta desarrollada por CiuData+ para la gestión y administración de la información predial. </w:t>
      </w:r>
    </w:p>
    <w:p w14:paraId="000001E2" w14:textId="77777777" w:rsidR="00EF2EEB" w:rsidRDefault="00EF2EEB">
      <w:pPr>
        <w:rPr>
          <w:rFonts w:ascii="Arial Narrow" w:eastAsia="Arial Narrow" w:hAnsi="Arial Narrow" w:cs="Arial Narrow"/>
          <w:b/>
          <w:bCs/>
        </w:rPr>
      </w:pPr>
    </w:p>
    <w:p w14:paraId="000001E3" w14:textId="3733797C" w:rsidR="00EF2EEB" w:rsidRPr="00EE1743" w:rsidRDefault="00EE1743" w:rsidP="004101FA">
      <w:pPr>
        <w:jc w:val="center"/>
        <w:rPr>
          <w:rFonts w:ascii="Arial Narrow" w:eastAsia="Arial Narrow" w:hAnsi="Arial Narrow" w:cs="Arial Narrow"/>
          <w:b/>
          <w:bCs/>
          <w:lang w:val="es-ES"/>
        </w:rPr>
      </w:pPr>
      <w:r w:rsidRPr="00EE1743">
        <w:rPr>
          <w:rFonts w:ascii="Arial Narrow" w:eastAsia="Arial Narrow" w:hAnsi="Arial Narrow" w:cs="Arial Narrow"/>
          <w:b/>
          <w:bCs/>
          <w:lang w:val="es-ES"/>
        </w:rPr>
        <w:drawing>
          <wp:inline distT="0" distB="0" distL="0" distR="0" wp14:anchorId="4CC85F64" wp14:editId="184BB5E3">
            <wp:extent cx="1442380" cy="1440000"/>
            <wp:effectExtent l="0" t="0" r="5715" b="8255"/>
            <wp:docPr id="2652458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45863" name=""/>
                    <pic:cNvPicPr/>
                  </pic:nvPicPr>
                  <pic:blipFill>
                    <a:blip r:embed="rId26"/>
                    <a:stretch>
                      <a:fillRect/>
                    </a:stretch>
                  </pic:blipFill>
                  <pic:spPr>
                    <a:xfrm>
                      <a:off x="0" y="0"/>
                      <a:ext cx="1442380" cy="1440000"/>
                    </a:xfrm>
                    <a:prstGeom prst="rect">
                      <a:avLst/>
                    </a:prstGeom>
                  </pic:spPr>
                </pic:pic>
              </a:graphicData>
            </a:graphic>
          </wp:inline>
        </w:drawing>
      </w:r>
    </w:p>
    <w:p w14:paraId="000001E4" w14:textId="77777777" w:rsidR="00EF2EEB" w:rsidRDefault="00EF2EEB">
      <w:pPr>
        <w:rPr>
          <w:rFonts w:ascii="Arial Narrow" w:eastAsia="Arial Narrow" w:hAnsi="Arial Narrow" w:cs="Arial Narrow"/>
          <w:b/>
          <w:bCs/>
        </w:rPr>
      </w:pPr>
    </w:p>
    <w:p w14:paraId="000001E5" w14:textId="77777777" w:rsidR="00EF2EEB" w:rsidRDefault="00EF2EEB">
      <w:pPr>
        <w:rPr>
          <w:rFonts w:ascii="Arial Narrow" w:eastAsia="Arial Narrow" w:hAnsi="Arial Narrow" w:cs="Arial Narrow"/>
          <w:b/>
          <w:bCs/>
        </w:rPr>
      </w:pPr>
    </w:p>
    <w:p w14:paraId="000001E6" w14:textId="77777777" w:rsidR="00EF2EEB" w:rsidRDefault="00EF2EEB">
      <w:pPr>
        <w:rPr>
          <w:rFonts w:ascii="Arial Narrow" w:eastAsia="Arial Narrow" w:hAnsi="Arial Narrow" w:cs="Arial Narrow"/>
          <w:b/>
          <w:bCs/>
        </w:rPr>
      </w:pPr>
    </w:p>
    <w:p w14:paraId="000001E7" w14:textId="77777777" w:rsidR="00EF2EEB" w:rsidRDefault="00EF2EEB">
      <w:pPr>
        <w:rPr>
          <w:rFonts w:ascii="Arial Narrow" w:eastAsia="Arial Narrow" w:hAnsi="Arial Narrow" w:cs="Arial Narrow"/>
          <w:b/>
          <w:bCs/>
        </w:rPr>
      </w:pPr>
    </w:p>
    <w:p w14:paraId="000001E8" w14:textId="77777777" w:rsidR="00EF2EEB" w:rsidRDefault="00EF2EEB">
      <w:pPr>
        <w:rPr>
          <w:rFonts w:ascii="Arial Narrow" w:eastAsia="Arial Narrow" w:hAnsi="Arial Narrow" w:cs="Arial Narrow"/>
          <w:b/>
          <w:bCs/>
        </w:rPr>
      </w:pPr>
    </w:p>
    <w:p w14:paraId="000001E9" w14:textId="77777777" w:rsidR="00EF2EEB" w:rsidRDefault="00EF2EEB">
      <w:pPr>
        <w:rPr>
          <w:rFonts w:ascii="Arial Narrow" w:eastAsia="Arial Narrow" w:hAnsi="Arial Narrow" w:cs="Arial Narrow"/>
          <w:b/>
          <w:bCs/>
        </w:rPr>
      </w:pPr>
    </w:p>
    <w:p w14:paraId="000001EA" w14:textId="77777777" w:rsidR="00EF2EEB" w:rsidRDefault="00EF2EEB">
      <w:pPr>
        <w:rPr>
          <w:rFonts w:ascii="Arial Narrow" w:eastAsia="Arial Narrow" w:hAnsi="Arial Narrow" w:cs="Arial Narrow"/>
          <w:b/>
          <w:bCs/>
        </w:rPr>
      </w:pPr>
    </w:p>
    <w:p w14:paraId="000001EB" w14:textId="77777777" w:rsidR="00EF2EEB" w:rsidRDefault="00EF2EEB">
      <w:pPr>
        <w:rPr>
          <w:rFonts w:ascii="Arial Narrow" w:eastAsia="Arial Narrow" w:hAnsi="Arial Narrow" w:cs="Arial Narrow"/>
          <w:b/>
          <w:bCs/>
        </w:rPr>
      </w:pPr>
    </w:p>
    <w:sectPr w:rsidR="00EF2EEB">
      <w:pgSz w:w="12240" w:h="15840"/>
      <w:pgMar w:top="1417" w:right="1185" w:bottom="1417" w:left="17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37E06" w14:textId="77777777" w:rsidR="003D6E98" w:rsidRDefault="003D6E98">
      <w:pPr>
        <w:spacing w:after="0" w:line="240" w:lineRule="auto"/>
      </w:pPr>
      <w:r>
        <w:separator/>
      </w:r>
    </w:p>
  </w:endnote>
  <w:endnote w:type="continuationSeparator" w:id="0">
    <w:p w14:paraId="42ACE964" w14:textId="77777777" w:rsidR="003D6E98" w:rsidRDefault="003D6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B23444B-C97C-46AA-A94A-2AB848E71BCF}"/>
    <w:embedBold r:id="rId2" w:fontKey="{7843DD92-D13D-4762-9A4D-21232CBD82B3}"/>
    <w:embedItalic r:id="rId3" w:fontKey="{8DA7C115-F7DE-47EB-AB83-167ECAFDB9BA}"/>
  </w:font>
  <w:font w:name="Play">
    <w:charset w:val="00"/>
    <w:family w:val="auto"/>
    <w:pitch w:val="default"/>
    <w:embedRegular r:id="rId4" w:fontKey="{FDE86256-0ED2-475D-A146-B6B36E6F1600}"/>
    <w:embedBold r:id="rId5" w:fontKey="{3D0C9507-AE49-429D-81C4-EDFF8486302D}"/>
  </w:font>
  <w:font w:name="Calibri">
    <w:panose1 w:val="020F0502020204030204"/>
    <w:charset w:val="00"/>
    <w:family w:val="swiss"/>
    <w:pitch w:val="variable"/>
    <w:sig w:usb0="E4002EFF" w:usb1="C200247B" w:usb2="00000009" w:usb3="00000000" w:csb0="000001FF" w:csb1="00000000"/>
    <w:embedRegular r:id="rId6" w:fontKey="{C7B17F01-62B2-4823-9AC6-254D3A0AD403}"/>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7" w:fontKey="{60B314D5-56EA-4827-B941-AF9096B07CB7}"/>
    <w:embedBold r:id="rId8" w:fontKey="{C2778678-DFF4-4B27-A115-4BDAAA98E20E}"/>
  </w:font>
  <w:font w:name="Cambria">
    <w:panose1 w:val="02040503050406030204"/>
    <w:charset w:val="00"/>
    <w:family w:val="roman"/>
    <w:pitch w:val="variable"/>
    <w:sig w:usb0="E00006FF" w:usb1="420024FF" w:usb2="02000000" w:usb3="00000000" w:csb0="0000019F" w:csb1="00000000"/>
    <w:embedRegular r:id="rId9" w:fontKey="{FDCAF451-F3D7-4912-A77A-6B5CE15CCA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C" w14:textId="2DA2F858" w:rsidR="00EF2EEB" w:rsidRDefault="00E57539">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955EA">
      <w:rPr>
        <w:noProof/>
        <w:color w:val="000000"/>
      </w:rPr>
      <w:t>1</w:t>
    </w:r>
    <w:r>
      <w:rPr>
        <w:color w:val="000000"/>
      </w:rPr>
      <w:fldChar w:fldCharType="end"/>
    </w:r>
  </w:p>
  <w:p w14:paraId="000001ED" w14:textId="77777777" w:rsidR="00EF2EEB" w:rsidRDefault="00EF2EEB">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3EB59" w14:textId="77777777" w:rsidR="003D6E98" w:rsidRDefault="003D6E98">
      <w:pPr>
        <w:spacing w:after="0" w:line="240" w:lineRule="auto"/>
      </w:pPr>
      <w:r>
        <w:separator/>
      </w:r>
    </w:p>
  </w:footnote>
  <w:footnote w:type="continuationSeparator" w:id="0">
    <w:p w14:paraId="18A29FE9" w14:textId="77777777" w:rsidR="003D6E98" w:rsidRDefault="003D6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E" w14:textId="77777777" w:rsidR="00EF2EEB" w:rsidRDefault="00E57539">
    <w:pPr>
      <w:spacing w:after="0" w:line="276" w:lineRule="auto"/>
      <w:rPr>
        <w:rFonts w:ascii="Calibri" w:eastAsia="Calibri" w:hAnsi="Calibri" w:cs="Calibri"/>
        <w:sz w:val="22"/>
        <w:szCs w:val="22"/>
      </w:rPr>
    </w:pPr>
    <w:r>
      <w:rPr>
        <w:rFonts w:ascii="Calibri" w:eastAsia="Calibri" w:hAnsi="Calibri" w:cs="Calibri"/>
        <w:sz w:val="22"/>
        <w:szCs w:val="22"/>
      </w:rPr>
      <w:t xml:space="preserve"> </w:t>
    </w:r>
  </w:p>
  <w:tbl>
    <w:tblPr>
      <w:tblStyle w:val="aa"/>
      <w:tblW w:w="88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30"/>
      <w:gridCol w:w="4905"/>
      <w:gridCol w:w="1785"/>
    </w:tblGrid>
    <w:tr w:rsidR="00EF2EEB" w14:paraId="782B14A4" w14:textId="77777777">
      <w:trPr>
        <w:trHeight w:val="1140"/>
      </w:trPr>
      <w:tc>
        <w:tcPr>
          <w:tcW w:w="2130" w:type="dxa"/>
          <w:tcBorders>
            <w:top w:val="single" w:sz="8" w:space="0" w:color="BDD7EE"/>
            <w:left w:val="single" w:sz="8" w:space="0" w:color="BDD7EE"/>
            <w:bottom w:val="single" w:sz="8" w:space="0" w:color="BDD7EE"/>
            <w:right w:val="single" w:sz="8" w:space="0" w:color="BDD7EE"/>
          </w:tcBorders>
          <w:tcMar>
            <w:top w:w="0" w:type="dxa"/>
            <w:left w:w="100" w:type="dxa"/>
            <w:bottom w:w="0" w:type="dxa"/>
            <w:right w:w="100" w:type="dxa"/>
          </w:tcMar>
        </w:tcPr>
        <w:p w14:paraId="000001EF" w14:textId="77777777" w:rsidR="00EF2EEB" w:rsidRDefault="00E57539">
          <w:r>
            <w:rPr>
              <w:noProof/>
            </w:rPr>
            <w:drawing>
              <wp:inline distT="114300" distB="114300" distL="114300" distR="114300" wp14:anchorId="5B5BD1A1" wp14:editId="6C85E587">
                <wp:extent cx="1219200" cy="698500"/>
                <wp:effectExtent l="0" t="0" r="0" b="0"/>
                <wp:docPr id="1390637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9200" cy="698500"/>
                        </a:xfrm>
                        <a:prstGeom prst="rect">
                          <a:avLst/>
                        </a:prstGeom>
                        <a:ln/>
                      </pic:spPr>
                    </pic:pic>
                  </a:graphicData>
                </a:graphic>
              </wp:inline>
            </w:drawing>
          </w:r>
        </w:p>
      </w:tc>
      <w:tc>
        <w:tcPr>
          <w:tcW w:w="4905" w:type="dxa"/>
          <w:tcBorders>
            <w:top w:val="single" w:sz="8" w:space="0" w:color="BDD7EE"/>
            <w:bottom w:val="single" w:sz="8" w:space="0" w:color="BDD7EE"/>
            <w:right w:val="single" w:sz="8" w:space="0" w:color="BDD7EE"/>
          </w:tcBorders>
          <w:tcMar>
            <w:top w:w="0" w:type="dxa"/>
            <w:left w:w="100" w:type="dxa"/>
            <w:bottom w:w="0" w:type="dxa"/>
            <w:right w:w="100" w:type="dxa"/>
          </w:tcMar>
        </w:tcPr>
        <w:p w14:paraId="000001F0" w14:textId="77777777" w:rsidR="00EF2EEB" w:rsidRDefault="00E57539">
          <w:pPr>
            <w:spacing w:line="252" w:lineRule="auto"/>
            <w:jc w:val="center"/>
            <w:rPr>
              <w:rFonts w:ascii="Calibri" w:eastAsia="Calibri" w:hAnsi="Calibri" w:cs="Calibri"/>
              <w:color w:val="4472C4"/>
              <w:sz w:val="28"/>
              <w:szCs w:val="28"/>
            </w:rPr>
          </w:pPr>
          <w:r>
            <w:rPr>
              <w:rFonts w:ascii="Calibri" w:eastAsia="Calibri" w:hAnsi="Calibri" w:cs="Calibri"/>
              <w:color w:val="4472C4"/>
              <w:sz w:val="28"/>
              <w:szCs w:val="28"/>
            </w:rPr>
            <w:t>Guía</w:t>
          </w:r>
        </w:p>
        <w:p w14:paraId="000001F1" w14:textId="77777777" w:rsidR="00EF2EEB" w:rsidRDefault="00E57539">
          <w:pPr>
            <w:pStyle w:val="Ttulo1"/>
            <w:spacing w:before="0" w:after="160" w:line="301" w:lineRule="auto"/>
            <w:jc w:val="center"/>
            <w:rPr>
              <w:rFonts w:ascii="Calibri" w:eastAsia="Calibri" w:hAnsi="Calibri" w:cs="Calibri"/>
              <w:sz w:val="26"/>
              <w:szCs w:val="26"/>
            </w:rPr>
          </w:pPr>
          <w:bookmarkStart w:id="43" w:name="_heading=h.pff9qprdzh07" w:colFirst="0" w:colLast="0"/>
          <w:bookmarkEnd w:id="43"/>
          <w:r>
            <w:rPr>
              <w:rFonts w:ascii="Arial" w:eastAsia="Arial" w:hAnsi="Arial" w:cs="Arial"/>
              <w:color w:val="000000"/>
              <w:sz w:val="22"/>
              <w:szCs w:val="22"/>
            </w:rPr>
            <w:t xml:space="preserve">Fortalecimiento de la gestión de información territorial y catastral </w:t>
          </w:r>
        </w:p>
      </w:tc>
      <w:tc>
        <w:tcPr>
          <w:tcW w:w="1785" w:type="dxa"/>
          <w:tcBorders>
            <w:top w:val="single" w:sz="8" w:space="0" w:color="BDD7EE"/>
            <w:bottom w:val="single" w:sz="8" w:space="0" w:color="BDD7EE"/>
            <w:right w:val="single" w:sz="8" w:space="0" w:color="BDD7EE"/>
          </w:tcBorders>
          <w:tcMar>
            <w:top w:w="0" w:type="dxa"/>
            <w:left w:w="100" w:type="dxa"/>
            <w:bottom w:w="0" w:type="dxa"/>
            <w:right w:w="100" w:type="dxa"/>
          </w:tcMar>
        </w:tcPr>
        <w:p w14:paraId="000001F2" w14:textId="77777777" w:rsidR="00EF2EEB" w:rsidRDefault="00E57539">
          <w:pPr>
            <w:spacing w:line="252" w:lineRule="auto"/>
            <w:jc w:val="center"/>
            <w:rPr>
              <w:rFonts w:ascii="Calibri" w:eastAsia="Calibri" w:hAnsi="Calibri" w:cs="Calibri"/>
              <w:sz w:val="22"/>
              <w:szCs w:val="22"/>
            </w:rPr>
          </w:pPr>
          <w:r>
            <w:rPr>
              <w:rFonts w:ascii="Calibri" w:eastAsia="Calibri" w:hAnsi="Calibri" w:cs="Calibri"/>
              <w:sz w:val="22"/>
              <w:szCs w:val="22"/>
            </w:rPr>
            <w:t xml:space="preserve"> </w:t>
          </w:r>
        </w:p>
        <w:p w14:paraId="000001F3" w14:textId="77777777" w:rsidR="00EF2EEB" w:rsidRDefault="00E57539">
          <w:pPr>
            <w:spacing w:line="252" w:lineRule="auto"/>
            <w:jc w:val="center"/>
            <w:rPr>
              <w:rFonts w:ascii="Calibri" w:eastAsia="Calibri" w:hAnsi="Calibri" w:cs="Calibri"/>
              <w:sz w:val="20"/>
              <w:szCs w:val="20"/>
            </w:rPr>
          </w:pPr>
          <w:r>
            <w:rPr>
              <w:rFonts w:ascii="Calibri" w:eastAsia="Calibri" w:hAnsi="Calibri" w:cs="Calibri"/>
              <w:sz w:val="20"/>
              <w:szCs w:val="20"/>
            </w:rPr>
            <w:t>Fecha:</w:t>
          </w:r>
        </w:p>
        <w:p w14:paraId="000001F4" w14:textId="74059C11" w:rsidR="00EF2EEB" w:rsidRDefault="00402066">
          <w:pPr>
            <w:spacing w:line="252" w:lineRule="auto"/>
            <w:jc w:val="center"/>
            <w:rPr>
              <w:rFonts w:ascii="Calibri" w:eastAsia="Calibri" w:hAnsi="Calibri" w:cs="Calibri"/>
              <w:sz w:val="20"/>
              <w:szCs w:val="20"/>
            </w:rPr>
          </w:pPr>
          <w:r>
            <w:rPr>
              <w:rFonts w:ascii="Calibri" w:eastAsia="Calibri" w:hAnsi="Calibri" w:cs="Calibri"/>
              <w:sz w:val="20"/>
              <w:szCs w:val="20"/>
            </w:rPr>
            <w:t>05</w:t>
          </w:r>
          <w:r w:rsidR="00E57539">
            <w:rPr>
              <w:rFonts w:ascii="Calibri" w:eastAsia="Calibri" w:hAnsi="Calibri" w:cs="Calibri"/>
              <w:sz w:val="20"/>
              <w:szCs w:val="20"/>
            </w:rPr>
            <w:t>/0</w:t>
          </w:r>
          <w:r>
            <w:rPr>
              <w:rFonts w:ascii="Calibri" w:eastAsia="Calibri" w:hAnsi="Calibri" w:cs="Calibri"/>
              <w:sz w:val="20"/>
              <w:szCs w:val="20"/>
            </w:rPr>
            <w:t>4</w:t>
          </w:r>
          <w:r w:rsidR="00E57539">
            <w:rPr>
              <w:rFonts w:ascii="Calibri" w:eastAsia="Calibri" w:hAnsi="Calibri" w:cs="Calibri"/>
              <w:sz w:val="20"/>
              <w:szCs w:val="20"/>
            </w:rPr>
            <w:t>/20</w:t>
          </w:r>
          <w:r>
            <w:rPr>
              <w:rFonts w:ascii="Calibri" w:eastAsia="Calibri" w:hAnsi="Calibri" w:cs="Calibri"/>
              <w:sz w:val="20"/>
              <w:szCs w:val="20"/>
            </w:rPr>
            <w:t>2</w:t>
          </w:r>
          <w:r w:rsidR="00E57539">
            <w:rPr>
              <w:rFonts w:ascii="Calibri" w:eastAsia="Calibri" w:hAnsi="Calibri" w:cs="Calibri"/>
              <w:sz w:val="20"/>
              <w:szCs w:val="20"/>
            </w:rPr>
            <w:t>6</w:t>
          </w:r>
        </w:p>
      </w:tc>
    </w:tr>
  </w:tbl>
  <w:p w14:paraId="000001F5" w14:textId="77777777" w:rsidR="00EF2EEB" w:rsidRDefault="00E57539">
    <w:pPr>
      <w:spacing w:after="0" w:line="276" w:lineRule="auto"/>
      <w:jc w:val="both"/>
      <w:rPr>
        <w:rFonts w:ascii="Calibri" w:eastAsia="Calibri" w:hAnsi="Calibri" w:cs="Calibri"/>
        <w:sz w:val="22"/>
        <w:szCs w:val="22"/>
      </w:rPr>
    </w:pPr>
    <w:r>
      <w:rPr>
        <w:rFonts w:ascii="Calibri" w:eastAsia="Calibri" w:hAnsi="Calibri" w:cs="Calibri"/>
        <w:sz w:val="22"/>
        <w:szCs w:val="22"/>
      </w:rPr>
      <w:t xml:space="preserve"> </w:t>
    </w:r>
  </w:p>
  <w:p w14:paraId="000001F6" w14:textId="77777777" w:rsidR="00EF2EEB" w:rsidRDefault="00EF2E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80105"/>
    <w:multiLevelType w:val="multilevel"/>
    <w:tmpl w:val="A7AC2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A667D2E"/>
    <w:multiLevelType w:val="multilevel"/>
    <w:tmpl w:val="4E9C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1A07CC"/>
    <w:multiLevelType w:val="multilevel"/>
    <w:tmpl w:val="B8869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60364185">
    <w:abstractNumId w:val="0"/>
  </w:num>
  <w:num w:numId="2" w16cid:durableId="217327427">
    <w:abstractNumId w:val="2"/>
  </w:num>
  <w:num w:numId="3" w16cid:durableId="667054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EB"/>
    <w:rsid w:val="0003738D"/>
    <w:rsid w:val="0004200B"/>
    <w:rsid w:val="00067F65"/>
    <w:rsid w:val="00090DA3"/>
    <w:rsid w:val="000A48BE"/>
    <w:rsid w:val="000B17C3"/>
    <w:rsid w:val="000F0DD1"/>
    <w:rsid w:val="000F7BB6"/>
    <w:rsid w:val="001515ED"/>
    <w:rsid w:val="001B5D02"/>
    <w:rsid w:val="001C01F1"/>
    <w:rsid w:val="001C03B8"/>
    <w:rsid w:val="002675C6"/>
    <w:rsid w:val="002B7603"/>
    <w:rsid w:val="002E7A67"/>
    <w:rsid w:val="0031227A"/>
    <w:rsid w:val="003B0029"/>
    <w:rsid w:val="003D6E98"/>
    <w:rsid w:val="003E59F8"/>
    <w:rsid w:val="00402066"/>
    <w:rsid w:val="00407DAA"/>
    <w:rsid w:val="004101FA"/>
    <w:rsid w:val="00437913"/>
    <w:rsid w:val="00440FB2"/>
    <w:rsid w:val="0044508D"/>
    <w:rsid w:val="00483034"/>
    <w:rsid w:val="004B2B30"/>
    <w:rsid w:val="004E72F4"/>
    <w:rsid w:val="00512546"/>
    <w:rsid w:val="00513CB3"/>
    <w:rsid w:val="0055324A"/>
    <w:rsid w:val="005950A0"/>
    <w:rsid w:val="005D383A"/>
    <w:rsid w:val="005F3EB9"/>
    <w:rsid w:val="005F556D"/>
    <w:rsid w:val="00640FC1"/>
    <w:rsid w:val="00646F00"/>
    <w:rsid w:val="00654DE1"/>
    <w:rsid w:val="00672A75"/>
    <w:rsid w:val="00690E13"/>
    <w:rsid w:val="006C1FB1"/>
    <w:rsid w:val="006F50F2"/>
    <w:rsid w:val="006F5659"/>
    <w:rsid w:val="007605E9"/>
    <w:rsid w:val="007679A6"/>
    <w:rsid w:val="00782D1D"/>
    <w:rsid w:val="00796E49"/>
    <w:rsid w:val="007E6646"/>
    <w:rsid w:val="008058FA"/>
    <w:rsid w:val="00831BEC"/>
    <w:rsid w:val="008C1895"/>
    <w:rsid w:val="008D17E8"/>
    <w:rsid w:val="00903F67"/>
    <w:rsid w:val="00917CA9"/>
    <w:rsid w:val="0094202E"/>
    <w:rsid w:val="009805F8"/>
    <w:rsid w:val="009955EA"/>
    <w:rsid w:val="009F2A45"/>
    <w:rsid w:val="00A4411C"/>
    <w:rsid w:val="00A6113C"/>
    <w:rsid w:val="00A9118A"/>
    <w:rsid w:val="00A943FA"/>
    <w:rsid w:val="00AB73E2"/>
    <w:rsid w:val="00AC7AFF"/>
    <w:rsid w:val="00AE06B4"/>
    <w:rsid w:val="00AF316C"/>
    <w:rsid w:val="00B02251"/>
    <w:rsid w:val="00B81E55"/>
    <w:rsid w:val="00BA693C"/>
    <w:rsid w:val="00BB22F2"/>
    <w:rsid w:val="00BC0CDB"/>
    <w:rsid w:val="00BF2BC4"/>
    <w:rsid w:val="00C14E70"/>
    <w:rsid w:val="00C42F75"/>
    <w:rsid w:val="00C6701A"/>
    <w:rsid w:val="00C746DD"/>
    <w:rsid w:val="00C80706"/>
    <w:rsid w:val="00D04F7C"/>
    <w:rsid w:val="00D11915"/>
    <w:rsid w:val="00D21BCA"/>
    <w:rsid w:val="00D7638B"/>
    <w:rsid w:val="00D8000B"/>
    <w:rsid w:val="00D91032"/>
    <w:rsid w:val="00DB56FC"/>
    <w:rsid w:val="00DF11C5"/>
    <w:rsid w:val="00E51F49"/>
    <w:rsid w:val="00E57539"/>
    <w:rsid w:val="00E63298"/>
    <w:rsid w:val="00E64BAE"/>
    <w:rsid w:val="00E8676D"/>
    <w:rsid w:val="00EA7AC7"/>
    <w:rsid w:val="00EE1743"/>
    <w:rsid w:val="00EF2EEB"/>
    <w:rsid w:val="00F17415"/>
    <w:rsid w:val="00F27CFC"/>
    <w:rsid w:val="00FD05CE"/>
    <w:rsid w:val="00FE03D8"/>
    <w:rsid w:val="00FE33D6"/>
    <w:rsid w:val="00FE773F"/>
    <w:rsid w:val="00FF72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BD59A"/>
  <w15:docId w15:val="{2010A77F-B560-495A-B807-D35A0726F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CO" w:eastAsia="es-E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tuloTDC">
    <w:name w:val="TOC Heading"/>
    <w:basedOn w:val="Ttulo1"/>
    <w:next w:val="Normal"/>
    <w:uiPriority w:val="39"/>
    <w:unhideWhenUsed/>
    <w:qFormat/>
    <w:rsid w:val="00FD05CE"/>
    <w:pPr>
      <w:spacing w:before="240" w:after="0" w:line="259" w:lineRule="auto"/>
      <w:outlineLvl w:val="9"/>
    </w:pPr>
    <w:rPr>
      <w:rFonts w:asciiTheme="majorHAnsi" w:eastAsiaTheme="majorEastAsia" w:hAnsiTheme="majorHAnsi" w:cstheme="majorBidi"/>
      <w:color w:val="365F91" w:themeColor="accent1" w:themeShade="BF"/>
      <w:sz w:val="32"/>
      <w:szCs w:val="32"/>
      <w:lang w:val="es-ES"/>
    </w:rPr>
  </w:style>
  <w:style w:type="paragraph" w:styleId="TDC1">
    <w:name w:val="toc 1"/>
    <w:basedOn w:val="Normal"/>
    <w:next w:val="Normal"/>
    <w:autoRedefine/>
    <w:uiPriority w:val="39"/>
    <w:unhideWhenUsed/>
    <w:rsid w:val="00FD05CE"/>
    <w:pPr>
      <w:spacing w:after="100"/>
    </w:pPr>
  </w:style>
  <w:style w:type="character" w:styleId="Hipervnculo">
    <w:name w:val="Hyperlink"/>
    <w:basedOn w:val="Fuentedeprrafopredeter"/>
    <w:uiPriority w:val="99"/>
    <w:unhideWhenUsed/>
    <w:rsid w:val="00FD05CE"/>
    <w:rPr>
      <w:color w:val="0000FF" w:themeColor="hyperlink"/>
      <w:u w:val="single"/>
    </w:rPr>
  </w:style>
  <w:style w:type="paragraph" w:styleId="TDC2">
    <w:name w:val="toc 2"/>
    <w:basedOn w:val="Normal"/>
    <w:next w:val="Normal"/>
    <w:autoRedefine/>
    <w:uiPriority w:val="39"/>
    <w:unhideWhenUsed/>
    <w:rsid w:val="00BA693C"/>
    <w:pPr>
      <w:spacing w:after="100"/>
      <w:ind w:left="240"/>
    </w:pPr>
  </w:style>
  <w:style w:type="paragraph" w:styleId="Tabladeilustraciones">
    <w:name w:val="table of figures"/>
    <w:basedOn w:val="Normal"/>
    <w:next w:val="Normal"/>
    <w:uiPriority w:val="99"/>
    <w:semiHidden/>
    <w:unhideWhenUsed/>
    <w:rsid w:val="00E51F49"/>
    <w:pPr>
      <w:spacing w:after="0"/>
    </w:pPr>
    <w:rPr>
      <w:rFonts w:ascii="Arial" w:hAnsi="Arial"/>
      <w:sz w:val="22"/>
    </w:rPr>
  </w:style>
  <w:style w:type="paragraph" w:styleId="Encabezado">
    <w:name w:val="header"/>
    <w:basedOn w:val="Normal"/>
    <w:link w:val="EncabezadoCar"/>
    <w:uiPriority w:val="99"/>
    <w:unhideWhenUsed/>
    <w:rsid w:val="0040206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02066"/>
  </w:style>
  <w:style w:type="paragraph" w:styleId="Piedepgina">
    <w:name w:val="footer"/>
    <w:basedOn w:val="Normal"/>
    <w:link w:val="PiedepginaCar"/>
    <w:uiPriority w:val="99"/>
    <w:unhideWhenUsed/>
    <w:rsid w:val="0040206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2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jpg"/><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xxxxxxxxxxxxxxxxxxxxx/" TargetMode="External"/><Relationship Id="rId24"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uSXFagDCi3xBZhErGHQo0ahig==">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4705F3-2F60-4584-A311-58B11254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40</Pages>
  <Words>6991</Words>
  <Characters>38456</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GUILLERMO CARRILLO BALLESTEROS</dc:creator>
  <cp:lastModifiedBy>Hans Saenz</cp:lastModifiedBy>
  <cp:revision>12</cp:revision>
  <cp:lastPrinted>2026-05-05T17:39:00Z</cp:lastPrinted>
  <dcterms:created xsi:type="dcterms:W3CDTF">2026-05-05T17:41:00Z</dcterms:created>
  <dcterms:modified xsi:type="dcterms:W3CDTF">2026-05-05T20:52:00Z</dcterms:modified>
</cp:coreProperties>
</file>