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A700" w14:textId="77777777" w:rsidR="008C03AC" w:rsidRDefault="000375DC">
      <w:pPr>
        <w:jc w:val="center"/>
        <w:rPr>
          <w:rFonts w:ascii="Arial Narrow" w:eastAsia="Arial Narrow" w:hAnsi="Arial Narrow" w:cs="Arial Narrow"/>
          <w:b/>
          <w:bCs/>
        </w:rPr>
      </w:pPr>
      <w:r>
        <w:rPr>
          <w:rFonts w:ascii="Arial Narrow" w:eastAsia="Arial Narrow" w:hAnsi="Arial Narrow" w:cs="Arial Narrow"/>
          <w:b/>
          <w:bCs/>
          <w:noProof/>
        </w:rPr>
        <w:drawing>
          <wp:inline distT="114300" distB="114300" distL="114300" distR="114300" wp14:anchorId="047E4AE1" wp14:editId="7C0B5647">
            <wp:extent cx="5612130" cy="750570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5612130" cy="7505700"/>
                    </a:xfrm>
                    <a:prstGeom prst="rect">
                      <a:avLst/>
                    </a:prstGeom>
                    <a:ln/>
                  </pic:spPr>
                </pic:pic>
              </a:graphicData>
            </a:graphic>
          </wp:inline>
        </w:drawing>
      </w:r>
    </w:p>
    <w:p w14:paraId="2D9C6F30" w14:textId="77777777" w:rsidR="008C03AC" w:rsidRDefault="000375DC">
      <w:pPr>
        <w:jc w:val="center"/>
        <w:rPr>
          <w:rFonts w:ascii="Arial Narrow" w:eastAsia="Arial Narrow" w:hAnsi="Arial Narrow" w:cs="Arial Narrow"/>
          <w:b/>
          <w:bCs/>
        </w:rPr>
      </w:pPr>
      <w:r>
        <w:rPr>
          <w:rFonts w:ascii="Arial Narrow" w:eastAsia="Arial Narrow" w:hAnsi="Arial Narrow" w:cs="Arial Narrow"/>
          <w:b/>
          <w:bCs/>
          <w:noProof/>
        </w:rPr>
        <w:lastRenderedPageBreak/>
        <w:drawing>
          <wp:inline distT="114300" distB="114300" distL="114300" distR="114300" wp14:anchorId="59F9D901" wp14:editId="6106D4E7">
            <wp:extent cx="5612130" cy="7518400"/>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612130" cy="7518400"/>
                    </a:xfrm>
                    <a:prstGeom prst="rect">
                      <a:avLst/>
                    </a:prstGeom>
                    <a:ln/>
                  </pic:spPr>
                </pic:pic>
              </a:graphicData>
            </a:graphic>
          </wp:inline>
        </w:drawing>
      </w:r>
    </w:p>
    <w:p w14:paraId="65624327" w14:textId="77777777" w:rsidR="008C03AC" w:rsidRDefault="008C03AC">
      <w:pPr>
        <w:rPr>
          <w:rFonts w:ascii="Arial Narrow" w:eastAsia="Arial Narrow" w:hAnsi="Arial Narrow" w:cs="Arial Narrow"/>
          <w:b/>
          <w:bCs/>
        </w:rPr>
      </w:pPr>
    </w:p>
    <w:p w14:paraId="05B70A49" w14:textId="77777777" w:rsidR="008C03AC" w:rsidRDefault="008C03AC">
      <w:pPr>
        <w:jc w:val="center"/>
        <w:rPr>
          <w:rFonts w:ascii="Arial Narrow" w:eastAsia="Arial Narrow" w:hAnsi="Arial Narrow" w:cs="Arial Narrow"/>
          <w:b/>
          <w:bCs/>
        </w:rPr>
      </w:pPr>
    </w:p>
    <w:p w14:paraId="5A124133" w14:textId="77777777" w:rsidR="008C03AC" w:rsidRDefault="000375DC">
      <w:pPr>
        <w:jc w:val="center"/>
        <w:rPr>
          <w:rFonts w:ascii="Arial" w:eastAsia="Arial" w:hAnsi="Arial" w:cs="Arial"/>
          <w:b/>
          <w:bCs/>
        </w:rPr>
      </w:pPr>
      <w:r>
        <w:rPr>
          <w:rFonts w:ascii="Arial" w:eastAsia="Arial" w:hAnsi="Arial" w:cs="Arial"/>
          <w:b/>
          <w:bCs/>
        </w:rPr>
        <w:t xml:space="preserve">Cartilla </w:t>
      </w:r>
      <w:proofErr w:type="spellStart"/>
      <w:r>
        <w:rPr>
          <w:rFonts w:ascii="Arial" w:eastAsia="Arial" w:hAnsi="Arial" w:cs="Arial"/>
          <w:b/>
          <w:bCs/>
        </w:rPr>
        <w:t>N°</w:t>
      </w:r>
      <w:proofErr w:type="spellEnd"/>
      <w:r>
        <w:rPr>
          <w:rFonts w:ascii="Arial" w:eastAsia="Arial" w:hAnsi="Arial" w:cs="Arial"/>
          <w:b/>
          <w:bCs/>
        </w:rPr>
        <w:t xml:space="preserve"> 6</w:t>
      </w:r>
    </w:p>
    <w:p w14:paraId="095C2197" w14:textId="77777777" w:rsidR="008C03AC" w:rsidRDefault="008C03AC">
      <w:pPr>
        <w:jc w:val="center"/>
        <w:rPr>
          <w:rFonts w:ascii="Arial" w:eastAsia="Arial" w:hAnsi="Arial" w:cs="Arial"/>
          <w:b/>
          <w:bCs/>
        </w:rPr>
      </w:pPr>
    </w:p>
    <w:p w14:paraId="2E814C16" w14:textId="77777777" w:rsidR="008C03AC" w:rsidRPr="001923ED" w:rsidRDefault="000375DC">
      <w:pPr>
        <w:jc w:val="center"/>
        <w:rPr>
          <w:rFonts w:ascii="Arial" w:eastAsia="Arial" w:hAnsi="Arial" w:cs="Arial"/>
          <w:b/>
          <w:bCs/>
          <w:sz w:val="32"/>
          <w:szCs w:val="32"/>
        </w:rPr>
      </w:pPr>
      <w:r w:rsidRPr="001923ED">
        <w:rPr>
          <w:rFonts w:ascii="Arial" w:eastAsia="Arial" w:hAnsi="Arial" w:cs="Arial"/>
          <w:b/>
          <w:bCs/>
          <w:sz w:val="32"/>
          <w:szCs w:val="32"/>
        </w:rPr>
        <w:t>Legalización de Bienes Inmuebles de Uso Público</w:t>
      </w:r>
    </w:p>
    <w:p w14:paraId="3150C49B" w14:textId="77777777" w:rsidR="008C03AC" w:rsidRDefault="008C03AC">
      <w:pPr>
        <w:jc w:val="center"/>
        <w:rPr>
          <w:rFonts w:ascii="Arial" w:eastAsia="Arial" w:hAnsi="Arial" w:cs="Arial"/>
          <w:b/>
          <w:bCs/>
        </w:rPr>
      </w:pPr>
    </w:p>
    <w:p w14:paraId="02933545" w14:textId="77777777" w:rsidR="008C03AC" w:rsidRDefault="008C03AC">
      <w:pPr>
        <w:rPr>
          <w:rFonts w:ascii="Arial" w:eastAsia="Arial" w:hAnsi="Arial" w:cs="Arial"/>
          <w:b/>
          <w:bCs/>
        </w:rPr>
      </w:pPr>
    </w:p>
    <w:p w14:paraId="646F4C11" w14:textId="77777777" w:rsidR="008C03AC" w:rsidRDefault="008C03AC">
      <w:pPr>
        <w:jc w:val="center"/>
        <w:rPr>
          <w:rFonts w:ascii="Arial" w:eastAsia="Arial" w:hAnsi="Arial" w:cs="Arial"/>
          <w:b/>
          <w:bCs/>
        </w:rPr>
      </w:pPr>
    </w:p>
    <w:p w14:paraId="1CC60444" w14:textId="77777777" w:rsidR="008C03AC" w:rsidRDefault="000375DC">
      <w:pPr>
        <w:spacing w:before="240" w:after="240" w:line="276" w:lineRule="auto"/>
        <w:jc w:val="center"/>
        <w:rPr>
          <w:rFonts w:ascii="Arial" w:eastAsia="Arial" w:hAnsi="Arial" w:cs="Arial"/>
          <w:b/>
          <w:bCs/>
        </w:rPr>
      </w:pPr>
      <w:r>
        <w:rPr>
          <w:rFonts w:ascii="Arial" w:eastAsia="Arial" w:hAnsi="Arial" w:cs="Arial"/>
          <w:b/>
          <w:bCs/>
          <w:sz w:val="22"/>
          <w:szCs w:val="22"/>
        </w:rPr>
        <w:t xml:space="preserve"> </w:t>
      </w:r>
      <w:r>
        <w:rPr>
          <w:rFonts w:ascii="Arial" w:eastAsia="Arial" w:hAnsi="Arial" w:cs="Arial"/>
          <w:b/>
          <w:bCs/>
        </w:rPr>
        <w:t>CiuData+</w:t>
      </w:r>
    </w:p>
    <w:p w14:paraId="739E783F" w14:textId="77777777" w:rsidR="008C03AC" w:rsidRPr="00A81B4E" w:rsidRDefault="000375DC" w:rsidP="00A81B4E">
      <w:pPr>
        <w:jc w:val="center"/>
        <w:rPr>
          <w:b/>
          <w:bCs/>
        </w:rPr>
      </w:pPr>
      <w:bookmarkStart w:id="0" w:name="_heading=h.afg54g4do22t" w:colFirst="0" w:colLast="0"/>
      <w:bookmarkEnd w:id="0"/>
      <w:r w:rsidRPr="00A81B4E">
        <w:rPr>
          <w:b/>
          <w:bCs/>
        </w:rPr>
        <w:t>“Programa para el Fortalecimiento de Gobiernos Subnacionales</w:t>
      </w:r>
    </w:p>
    <w:p w14:paraId="2177F709" w14:textId="77777777" w:rsidR="008C03AC" w:rsidRPr="00A81B4E" w:rsidRDefault="000375DC" w:rsidP="00A81B4E">
      <w:pPr>
        <w:jc w:val="center"/>
        <w:rPr>
          <w:b/>
          <w:bCs/>
        </w:rPr>
      </w:pPr>
      <w:bookmarkStart w:id="1" w:name="_heading=h.zhu5efbb4z5l" w:colFirst="0" w:colLast="0"/>
      <w:bookmarkEnd w:id="1"/>
      <w:r w:rsidRPr="00A81B4E">
        <w:rPr>
          <w:b/>
          <w:bCs/>
        </w:rPr>
        <w:t>en la Administración de Tierras y Gestión Fiscal en Colombia del Banco Mundial”</w:t>
      </w:r>
    </w:p>
    <w:p w14:paraId="124CC859" w14:textId="77777777" w:rsidR="008C03AC" w:rsidRDefault="000375DC">
      <w:pPr>
        <w:shd w:val="clear" w:color="auto" w:fill="FFFFFF"/>
        <w:spacing w:before="240" w:after="240" w:line="276" w:lineRule="auto"/>
        <w:jc w:val="center"/>
        <w:rPr>
          <w:rFonts w:ascii="Arial" w:eastAsia="Arial" w:hAnsi="Arial" w:cs="Arial"/>
          <w:b/>
          <w:bCs/>
          <w:sz w:val="22"/>
          <w:szCs w:val="22"/>
        </w:rPr>
      </w:pPr>
      <w:r>
        <w:rPr>
          <w:rFonts w:ascii="Arial" w:eastAsia="Arial" w:hAnsi="Arial" w:cs="Arial"/>
          <w:b/>
          <w:bCs/>
          <w:sz w:val="22"/>
          <w:szCs w:val="22"/>
        </w:rPr>
        <w:t xml:space="preserve"> </w:t>
      </w:r>
    </w:p>
    <w:p w14:paraId="26AEBB07" w14:textId="2AB51487" w:rsidR="008C03AC" w:rsidRPr="00A81B4E" w:rsidRDefault="008C03AC" w:rsidP="00A81B4E">
      <w:pPr>
        <w:jc w:val="center"/>
        <w:rPr>
          <w:b/>
          <w:bCs/>
        </w:rPr>
      </w:pPr>
    </w:p>
    <w:p w14:paraId="1849B3F7" w14:textId="7FE13EBA" w:rsidR="008C03AC" w:rsidRPr="00A81B4E" w:rsidRDefault="000375DC" w:rsidP="00A81B4E">
      <w:pPr>
        <w:jc w:val="center"/>
        <w:rPr>
          <w:b/>
          <w:bCs/>
          <w:color w:val="000000"/>
        </w:rPr>
      </w:pPr>
      <w:bookmarkStart w:id="2" w:name="_heading=h.1ecmb1i4ojhw" w:colFirst="0" w:colLast="0"/>
      <w:bookmarkEnd w:id="2"/>
      <w:r w:rsidRPr="00A81B4E">
        <w:rPr>
          <w:b/>
          <w:bCs/>
          <w:color w:val="000000"/>
        </w:rPr>
        <w:t>Fortalecimiento de la gestión de información territorial y catastral</w:t>
      </w:r>
    </w:p>
    <w:p w14:paraId="5E89DBF4" w14:textId="77777777" w:rsidR="008C03AC" w:rsidRDefault="008C03AC">
      <w:pPr>
        <w:jc w:val="center"/>
        <w:rPr>
          <w:rFonts w:ascii="Arial" w:eastAsia="Arial" w:hAnsi="Arial" w:cs="Arial"/>
          <w:b/>
          <w:bCs/>
        </w:rPr>
      </w:pPr>
    </w:p>
    <w:p w14:paraId="69C7F595" w14:textId="77777777" w:rsidR="008C03AC" w:rsidRDefault="008C03AC">
      <w:pPr>
        <w:jc w:val="center"/>
        <w:rPr>
          <w:rFonts w:ascii="Arial" w:eastAsia="Arial" w:hAnsi="Arial" w:cs="Arial"/>
          <w:b/>
          <w:bCs/>
        </w:rPr>
      </w:pPr>
    </w:p>
    <w:p w14:paraId="37253C15" w14:textId="77777777" w:rsidR="008C03AC" w:rsidRDefault="008C03AC">
      <w:pPr>
        <w:jc w:val="center"/>
        <w:rPr>
          <w:rFonts w:ascii="Arial" w:eastAsia="Arial" w:hAnsi="Arial" w:cs="Arial"/>
          <w:b/>
          <w:bCs/>
        </w:rPr>
      </w:pPr>
    </w:p>
    <w:p w14:paraId="2A7EBB23" w14:textId="77777777" w:rsidR="008C03AC" w:rsidRDefault="008C03AC">
      <w:pPr>
        <w:jc w:val="center"/>
        <w:rPr>
          <w:rFonts w:ascii="Arial" w:eastAsia="Arial" w:hAnsi="Arial" w:cs="Arial"/>
          <w:b/>
          <w:bCs/>
        </w:rPr>
      </w:pPr>
    </w:p>
    <w:p w14:paraId="5ADDE875" w14:textId="34BEE11E" w:rsidR="008C03AC" w:rsidRDefault="000375DC">
      <w:pPr>
        <w:jc w:val="center"/>
        <w:rPr>
          <w:rFonts w:ascii="Arial" w:eastAsia="Arial" w:hAnsi="Arial" w:cs="Arial"/>
        </w:rPr>
      </w:pPr>
      <w:r>
        <w:rPr>
          <w:rFonts w:ascii="Arial" w:eastAsia="Arial" w:hAnsi="Arial" w:cs="Arial"/>
          <w:b/>
          <w:bCs/>
        </w:rPr>
        <w:br/>
      </w:r>
      <w:r>
        <w:rPr>
          <w:rFonts w:ascii="Arial" w:eastAsia="Arial" w:hAnsi="Arial" w:cs="Arial"/>
          <w:b/>
          <w:bCs/>
        </w:rPr>
        <w:br/>
      </w:r>
      <w:r>
        <w:rPr>
          <w:rFonts w:ascii="Arial" w:eastAsia="Arial" w:hAnsi="Arial" w:cs="Arial"/>
        </w:rPr>
        <w:t>Versión</w:t>
      </w:r>
      <w:r w:rsidR="00CA4587">
        <w:rPr>
          <w:rFonts w:ascii="Arial" w:eastAsia="Arial" w:hAnsi="Arial" w:cs="Arial"/>
        </w:rPr>
        <w:t xml:space="preserve">, </w:t>
      </w:r>
      <w:r w:rsidR="00BB5DE9">
        <w:rPr>
          <w:rFonts w:ascii="Arial" w:eastAsia="Arial" w:hAnsi="Arial" w:cs="Arial"/>
        </w:rPr>
        <w:t>junio</w:t>
      </w:r>
      <w:r>
        <w:rPr>
          <w:rFonts w:ascii="Arial" w:eastAsia="Arial" w:hAnsi="Arial" w:cs="Arial"/>
        </w:rPr>
        <w:t xml:space="preserve"> de 2026</w:t>
      </w:r>
    </w:p>
    <w:p w14:paraId="03C66E38" w14:textId="77777777" w:rsidR="00CA4587" w:rsidRDefault="00CA4587">
      <w:pPr>
        <w:jc w:val="center"/>
        <w:rPr>
          <w:rFonts w:ascii="Arial" w:eastAsia="Arial" w:hAnsi="Arial" w:cs="Arial"/>
        </w:rPr>
      </w:pPr>
    </w:p>
    <w:p w14:paraId="6A59019E" w14:textId="77777777" w:rsidR="00A81B4E" w:rsidRDefault="00A81B4E">
      <w:pPr>
        <w:jc w:val="center"/>
        <w:rPr>
          <w:rFonts w:ascii="Arial" w:eastAsia="Arial" w:hAnsi="Arial" w:cs="Arial"/>
        </w:rPr>
      </w:pPr>
    </w:p>
    <w:p w14:paraId="1A8A0B3E" w14:textId="77777777" w:rsidR="00CA4587" w:rsidRDefault="00CA4587">
      <w:pPr>
        <w:jc w:val="center"/>
        <w:rPr>
          <w:rFonts w:ascii="Arial" w:eastAsia="Arial" w:hAnsi="Arial" w:cs="Arial"/>
          <w:b/>
          <w:bCs/>
        </w:rPr>
      </w:pPr>
    </w:p>
    <w:p w14:paraId="60EC04CF" w14:textId="07F2F990" w:rsidR="00CA4587" w:rsidRPr="001B5D02" w:rsidRDefault="00CA4587" w:rsidP="00CA4587">
      <w:pPr>
        <w:rPr>
          <w:b/>
          <w:bCs/>
        </w:rPr>
      </w:pPr>
      <w:bookmarkStart w:id="3" w:name="_heading=h.moctjrql1mty" w:colFirst="0" w:colLast="0"/>
      <w:bookmarkEnd w:id="3"/>
      <w:r w:rsidRPr="001B5D02">
        <w:rPr>
          <w:b/>
          <w:bCs/>
        </w:rPr>
        <w:lastRenderedPageBreak/>
        <w:t xml:space="preserve">Public </w:t>
      </w:r>
      <w:proofErr w:type="spellStart"/>
      <w:r w:rsidRPr="001B5D02">
        <w:rPr>
          <w:b/>
          <w:bCs/>
        </w:rPr>
        <w:t>Disclosure</w:t>
      </w:r>
      <w:proofErr w:type="spellEnd"/>
      <w:r w:rsidRPr="001B5D02">
        <w:rPr>
          <w:b/>
          <w:bCs/>
        </w:rPr>
        <w:t xml:space="preserve"> </w:t>
      </w:r>
      <w:proofErr w:type="spellStart"/>
      <w:r w:rsidRPr="001B5D02">
        <w:rPr>
          <w:b/>
          <w:bCs/>
        </w:rPr>
        <w:t>Authorized</w:t>
      </w:r>
      <w:proofErr w:type="spellEnd"/>
      <w:r w:rsidRPr="001B5D02">
        <w:rPr>
          <w:b/>
          <w:bCs/>
        </w:rPr>
        <w:t xml:space="preserve"> </w:t>
      </w:r>
    </w:p>
    <w:p w14:paraId="59815775" w14:textId="77777777" w:rsidR="00CA4587" w:rsidRDefault="00CA4587" w:rsidP="00CA4587">
      <w:pPr>
        <w:rPr>
          <w:b/>
          <w:bCs/>
        </w:rPr>
      </w:pPr>
    </w:p>
    <w:p w14:paraId="520510AC" w14:textId="77777777" w:rsidR="00CA4587" w:rsidRPr="007F210E" w:rsidRDefault="00CA4587" w:rsidP="00CA4587">
      <w:pPr>
        <w:rPr>
          <w:b/>
          <w:bCs/>
        </w:rPr>
      </w:pPr>
      <w:r w:rsidRPr="007F210E">
        <w:rPr>
          <w:b/>
          <w:bCs/>
        </w:rPr>
        <w:t>Departamento Nacional de P</w:t>
      </w:r>
      <w:r>
        <w:rPr>
          <w:b/>
          <w:bCs/>
        </w:rPr>
        <w:t>l</w:t>
      </w:r>
      <w:r w:rsidRPr="007F210E">
        <w:rPr>
          <w:b/>
          <w:bCs/>
        </w:rPr>
        <w:t>aneación DNP</w:t>
      </w:r>
    </w:p>
    <w:p w14:paraId="275D8947" w14:textId="77777777" w:rsidR="00CA4587" w:rsidRPr="007F210E" w:rsidRDefault="00CA4587" w:rsidP="00CA4587">
      <w:pPr>
        <w:rPr>
          <w:b/>
          <w:bCs/>
        </w:rPr>
      </w:pPr>
      <w:r w:rsidRPr="007F210E">
        <w:rPr>
          <w:b/>
          <w:bCs/>
        </w:rPr>
        <w:t xml:space="preserve">Dirección de Ordenamiento y Desarrollo Territorial </w:t>
      </w:r>
    </w:p>
    <w:p w14:paraId="4A6826C2" w14:textId="77777777" w:rsidR="00CA4587" w:rsidRPr="007F210E" w:rsidRDefault="00CA4587" w:rsidP="00CA4587">
      <w:pPr>
        <w:rPr>
          <w:b/>
          <w:bCs/>
        </w:rPr>
      </w:pPr>
    </w:p>
    <w:p w14:paraId="18A3C2A3" w14:textId="77777777" w:rsidR="00CA4587" w:rsidRPr="007F210E" w:rsidRDefault="00CA4587" w:rsidP="00CA4587">
      <w:pPr>
        <w:rPr>
          <w:b/>
          <w:bCs/>
        </w:rPr>
      </w:pPr>
      <w:r w:rsidRPr="007F210E">
        <w:rPr>
          <w:b/>
          <w:bCs/>
        </w:rPr>
        <w:t>Banco Mundial-</w:t>
      </w:r>
    </w:p>
    <w:p w14:paraId="5D6E98BE" w14:textId="77777777" w:rsidR="00CA4587" w:rsidRPr="007F210E" w:rsidRDefault="00CA4587" w:rsidP="00CA4587">
      <w:pPr>
        <w:rPr>
          <w:b/>
          <w:bCs/>
          <w:color w:val="231F20"/>
        </w:rPr>
      </w:pPr>
      <w:r w:rsidRPr="007F210E">
        <w:rPr>
          <w:b/>
          <w:bCs/>
        </w:rPr>
        <w:t>Ivonne Astrid Moreno Horta,</w:t>
      </w:r>
      <w:r w:rsidRPr="007F210E">
        <w:rPr>
          <w:b/>
          <w:bCs/>
          <w:color w:val="231F20"/>
        </w:rPr>
        <w:t xml:space="preserve"> Especialista Senior Administración de Tierras</w:t>
      </w:r>
    </w:p>
    <w:p w14:paraId="76E68D55" w14:textId="77777777" w:rsidR="00CA4587" w:rsidRPr="007F210E" w:rsidRDefault="00CA4587" w:rsidP="00CA4587">
      <w:pPr>
        <w:rPr>
          <w:b/>
          <w:bCs/>
          <w:color w:val="231F20"/>
        </w:rPr>
      </w:pPr>
      <w:r w:rsidRPr="007F210E">
        <w:rPr>
          <w:b/>
          <w:bCs/>
        </w:rPr>
        <w:t xml:space="preserve">Carolina Londoño Araque, </w:t>
      </w:r>
      <w:r w:rsidRPr="007F210E">
        <w:rPr>
          <w:b/>
          <w:bCs/>
          <w:color w:val="231F20"/>
        </w:rPr>
        <w:t>Coordinadora</w:t>
      </w:r>
      <w:r w:rsidRPr="007F210E">
        <w:rPr>
          <w:b/>
          <w:bCs/>
          <w:color w:val="FF0000"/>
        </w:rPr>
        <w:t xml:space="preserve"> </w:t>
      </w:r>
      <w:r w:rsidRPr="001E3C90">
        <w:rPr>
          <w:b/>
          <w:bCs/>
        </w:rPr>
        <w:t xml:space="preserve">Administrativa y Operativa </w:t>
      </w:r>
      <w:r w:rsidRPr="007F210E">
        <w:rPr>
          <w:b/>
          <w:bCs/>
          <w:color w:val="231F20"/>
        </w:rPr>
        <w:t>CiuData+</w:t>
      </w:r>
    </w:p>
    <w:p w14:paraId="05C8EDB1" w14:textId="77777777" w:rsidR="00CA4587" w:rsidRPr="007F210E" w:rsidRDefault="00CA4587" w:rsidP="00CA4587">
      <w:pPr>
        <w:rPr>
          <w:b/>
          <w:bCs/>
          <w:color w:val="231F20"/>
        </w:rPr>
      </w:pPr>
      <w:r w:rsidRPr="007F210E">
        <w:rPr>
          <w:b/>
          <w:bCs/>
        </w:rPr>
        <w:t xml:space="preserve">Jorge Augusto Bonil Cubides, </w:t>
      </w:r>
      <w:r w:rsidRPr="007F210E">
        <w:rPr>
          <w:b/>
          <w:bCs/>
          <w:color w:val="231F20"/>
        </w:rPr>
        <w:t>Coordinador Técnico Programa CiuData+</w:t>
      </w:r>
    </w:p>
    <w:p w14:paraId="085363DD" w14:textId="77777777" w:rsidR="00CA4587" w:rsidRPr="007F210E" w:rsidRDefault="00CA4587" w:rsidP="00CA4587">
      <w:pPr>
        <w:rPr>
          <w:b/>
          <w:bCs/>
        </w:rPr>
      </w:pPr>
      <w:r w:rsidRPr="007F210E">
        <w:rPr>
          <w:b/>
          <w:bCs/>
        </w:rPr>
        <w:t xml:space="preserve"> </w:t>
      </w:r>
    </w:p>
    <w:p w14:paraId="022AD07C" w14:textId="77777777" w:rsidR="00CA4587" w:rsidRPr="007F210E" w:rsidRDefault="00CA4587" w:rsidP="00CA4587">
      <w:pPr>
        <w:rPr>
          <w:b/>
          <w:bCs/>
        </w:rPr>
      </w:pPr>
      <w:r w:rsidRPr="007F210E">
        <w:rPr>
          <w:b/>
          <w:bCs/>
        </w:rPr>
        <w:t>Coordinación y edición:</w:t>
      </w:r>
    </w:p>
    <w:p w14:paraId="3F8CC531" w14:textId="77777777" w:rsidR="00CA4587" w:rsidRPr="007F210E" w:rsidRDefault="00CA4587" w:rsidP="00CA4587">
      <w:pPr>
        <w:rPr>
          <w:b/>
          <w:bCs/>
          <w:color w:val="231F20"/>
        </w:rPr>
      </w:pPr>
      <w:r w:rsidRPr="007F210E">
        <w:rPr>
          <w:b/>
          <w:bCs/>
        </w:rPr>
        <w:t xml:space="preserve">Jorge Augusto Bonil, </w:t>
      </w:r>
      <w:r w:rsidRPr="007F210E">
        <w:rPr>
          <w:b/>
          <w:bCs/>
          <w:color w:val="231F20"/>
        </w:rPr>
        <w:t>Coordinador Técnico Programa CiuData+</w:t>
      </w:r>
    </w:p>
    <w:p w14:paraId="1675BFB9" w14:textId="77777777" w:rsidR="00CA4587" w:rsidRPr="007F210E" w:rsidRDefault="00CA4587" w:rsidP="00CA4587">
      <w:pPr>
        <w:rPr>
          <w:b/>
          <w:bCs/>
        </w:rPr>
      </w:pPr>
      <w:r w:rsidRPr="007F210E">
        <w:rPr>
          <w:b/>
          <w:bCs/>
        </w:rPr>
        <w:t xml:space="preserve"> </w:t>
      </w:r>
    </w:p>
    <w:p w14:paraId="3E48DB4C" w14:textId="77777777" w:rsidR="00CA4587" w:rsidRPr="007F210E" w:rsidRDefault="00CA4587" w:rsidP="00CA4587">
      <w:pPr>
        <w:rPr>
          <w:b/>
          <w:bCs/>
        </w:rPr>
      </w:pPr>
      <w:r w:rsidRPr="007F210E">
        <w:rPr>
          <w:b/>
          <w:bCs/>
        </w:rPr>
        <w:t xml:space="preserve">Investigación y elaboración: </w:t>
      </w:r>
    </w:p>
    <w:p w14:paraId="0C11CA34" w14:textId="77777777" w:rsidR="00CA4587" w:rsidRPr="007F210E" w:rsidRDefault="00CA4587" w:rsidP="00CA4587">
      <w:pPr>
        <w:rPr>
          <w:b/>
          <w:bCs/>
          <w:color w:val="231F20"/>
        </w:rPr>
      </w:pPr>
      <w:r w:rsidRPr="007F210E">
        <w:rPr>
          <w:b/>
          <w:bCs/>
          <w:color w:val="231F20"/>
        </w:rPr>
        <w:t xml:space="preserve">Marcela </w:t>
      </w:r>
      <w:r>
        <w:rPr>
          <w:b/>
          <w:bCs/>
          <w:color w:val="231F20"/>
        </w:rPr>
        <w:t>Pantoja Lucena</w:t>
      </w:r>
      <w:r w:rsidRPr="007F210E">
        <w:rPr>
          <w:b/>
          <w:bCs/>
          <w:color w:val="231F20"/>
        </w:rPr>
        <w:t>, Consultora Jurídica</w:t>
      </w:r>
    </w:p>
    <w:p w14:paraId="2186ED55" w14:textId="77777777" w:rsidR="00CA4587" w:rsidRPr="007F210E" w:rsidRDefault="00CA4587" w:rsidP="00CA4587">
      <w:pPr>
        <w:rPr>
          <w:b/>
          <w:bCs/>
          <w:color w:val="231F20"/>
        </w:rPr>
      </w:pPr>
      <w:r w:rsidRPr="007F210E">
        <w:rPr>
          <w:b/>
          <w:bCs/>
          <w:color w:val="231F20"/>
        </w:rPr>
        <w:t>Paola Andrea Otoya Leguizamón, Consultora Jurídica</w:t>
      </w:r>
    </w:p>
    <w:p w14:paraId="504B9172" w14:textId="77777777" w:rsidR="00CA4587" w:rsidRPr="007F210E" w:rsidRDefault="00CA4587" w:rsidP="00CA4587">
      <w:pPr>
        <w:rPr>
          <w:b/>
          <w:bCs/>
          <w:color w:val="231F20"/>
        </w:rPr>
      </w:pPr>
      <w:r w:rsidRPr="007F210E">
        <w:rPr>
          <w:b/>
          <w:bCs/>
          <w:color w:val="231F20"/>
        </w:rPr>
        <w:t xml:space="preserve">Hans Rene </w:t>
      </w:r>
      <w:proofErr w:type="spellStart"/>
      <w:r w:rsidRPr="007F210E">
        <w:rPr>
          <w:b/>
          <w:bCs/>
          <w:color w:val="231F20"/>
        </w:rPr>
        <w:t>Saenz</w:t>
      </w:r>
      <w:proofErr w:type="spellEnd"/>
      <w:r w:rsidRPr="007F210E">
        <w:rPr>
          <w:b/>
          <w:bCs/>
          <w:color w:val="231F20"/>
        </w:rPr>
        <w:t>, Consultor Catastral</w:t>
      </w:r>
    </w:p>
    <w:p w14:paraId="7E17ABC3" w14:textId="77777777" w:rsidR="00CA4587" w:rsidRPr="007F210E" w:rsidRDefault="00CA4587" w:rsidP="00CA4587">
      <w:pPr>
        <w:rPr>
          <w:b/>
          <w:bCs/>
          <w:color w:val="231F20"/>
        </w:rPr>
      </w:pPr>
      <w:r w:rsidRPr="007F210E">
        <w:rPr>
          <w:b/>
          <w:bCs/>
          <w:color w:val="231F20"/>
        </w:rPr>
        <w:t xml:space="preserve"> </w:t>
      </w:r>
    </w:p>
    <w:p w14:paraId="6D254083" w14:textId="77777777" w:rsidR="00CA4587" w:rsidRPr="007F210E" w:rsidRDefault="00CA4587" w:rsidP="00CA4587">
      <w:pPr>
        <w:rPr>
          <w:b/>
          <w:bCs/>
          <w:color w:val="231F20"/>
        </w:rPr>
      </w:pPr>
      <w:r w:rsidRPr="007F210E">
        <w:rPr>
          <w:b/>
          <w:bCs/>
          <w:color w:val="231F20"/>
        </w:rPr>
        <w:t>Revisión técnica:</w:t>
      </w:r>
    </w:p>
    <w:p w14:paraId="4928D85A" w14:textId="77777777" w:rsidR="00CA4587" w:rsidRPr="007F210E" w:rsidRDefault="00CA4587" w:rsidP="00CA4587">
      <w:pPr>
        <w:rPr>
          <w:b/>
          <w:bCs/>
          <w:color w:val="231F20"/>
        </w:rPr>
      </w:pPr>
      <w:r w:rsidRPr="007F210E">
        <w:rPr>
          <w:b/>
          <w:bCs/>
        </w:rPr>
        <w:t xml:space="preserve">Jorge Augusto Bonil, </w:t>
      </w:r>
      <w:r w:rsidRPr="007F210E">
        <w:rPr>
          <w:b/>
          <w:bCs/>
          <w:color w:val="231F20"/>
        </w:rPr>
        <w:t>Coordinador Técnico Programa CiuData+</w:t>
      </w:r>
    </w:p>
    <w:p w14:paraId="3F00CACA" w14:textId="77777777" w:rsidR="00CA4587" w:rsidRPr="007F210E" w:rsidRDefault="00CA4587" w:rsidP="00CA4587">
      <w:pPr>
        <w:rPr>
          <w:b/>
          <w:bCs/>
        </w:rPr>
      </w:pPr>
      <w:r w:rsidRPr="007F210E">
        <w:rPr>
          <w:b/>
          <w:bCs/>
        </w:rPr>
        <w:t xml:space="preserve"> </w:t>
      </w:r>
    </w:p>
    <w:p w14:paraId="1C7075E9" w14:textId="77777777" w:rsidR="00CA4587" w:rsidRPr="007F210E" w:rsidRDefault="00CA4587" w:rsidP="00CA4587">
      <w:pPr>
        <w:rPr>
          <w:b/>
          <w:bCs/>
          <w:color w:val="231F20"/>
        </w:rPr>
      </w:pPr>
      <w:r w:rsidRPr="007F210E">
        <w:rPr>
          <w:b/>
          <w:bCs/>
          <w:color w:val="231F20"/>
        </w:rPr>
        <w:t>Edición, diseño y diagramación:</w:t>
      </w:r>
    </w:p>
    <w:p w14:paraId="21682CE9" w14:textId="77777777" w:rsidR="00CA4587" w:rsidRPr="007F210E" w:rsidRDefault="00CA4587" w:rsidP="00CA4587">
      <w:pPr>
        <w:rPr>
          <w:b/>
          <w:bCs/>
          <w:color w:val="FF0000"/>
        </w:rPr>
      </w:pPr>
      <w:r w:rsidRPr="007F210E">
        <w:rPr>
          <w:b/>
          <w:bCs/>
          <w:color w:val="FF0000"/>
        </w:rPr>
        <w:t>XXXXXXXXXXX</w:t>
      </w:r>
    </w:p>
    <w:p w14:paraId="348FA223" w14:textId="77777777" w:rsidR="00CA4587" w:rsidRPr="007F210E" w:rsidRDefault="00CA4587" w:rsidP="00CA4587">
      <w:pPr>
        <w:rPr>
          <w:b/>
          <w:bCs/>
        </w:rPr>
      </w:pPr>
      <w:r w:rsidRPr="007F210E">
        <w:rPr>
          <w:b/>
          <w:bCs/>
        </w:rPr>
        <w:lastRenderedPageBreak/>
        <w:t xml:space="preserve"> </w:t>
      </w:r>
    </w:p>
    <w:p w14:paraId="054BFB19" w14:textId="77777777" w:rsidR="00CA4587" w:rsidRPr="007F210E" w:rsidRDefault="00CA4587" w:rsidP="00CA4587">
      <w:pPr>
        <w:rPr>
          <w:b/>
          <w:bCs/>
          <w:color w:val="231F20"/>
        </w:rPr>
      </w:pPr>
      <w:r w:rsidRPr="007F210E">
        <w:rPr>
          <w:b/>
          <w:bCs/>
          <w:color w:val="231F20"/>
        </w:rPr>
        <w:t xml:space="preserve">El documento virtual podrá ser encontrado en: </w:t>
      </w:r>
    </w:p>
    <w:p w14:paraId="4EECB484" w14:textId="77777777" w:rsidR="00CA4587" w:rsidRPr="00BB5DE9" w:rsidRDefault="00CA4587" w:rsidP="00CA4587">
      <w:pPr>
        <w:rPr>
          <w:b/>
          <w:bCs/>
          <w:color w:val="FF0000"/>
          <w:u w:val="single"/>
          <w:lang w:val="en-US"/>
        </w:rPr>
      </w:pPr>
      <w:hyperlink r:id="rId11">
        <w:r w:rsidRPr="00BB5DE9">
          <w:rPr>
            <w:b/>
            <w:bCs/>
            <w:color w:val="FF0000"/>
            <w:u w:val="single"/>
            <w:lang w:val="en-US"/>
          </w:rPr>
          <w:t>https://www.xxxxxxxxxxxxxxxxxxxxx</w:t>
        </w:r>
      </w:hyperlink>
    </w:p>
    <w:p w14:paraId="69D5FBE6" w14:textId="77777777" w:rsidR="00CA4587" w:rsidRPr="00BB5DE9" w:rsidRDefault="00CA4587" w:rsidP="00CA4587">
      <w:pPr>
        <w:rPr>
          <w:b/>
          <w:bCs/>
          <w:color w:val="FF0000"/>
          <w:lang w:val="en-US"/>
        </w:rPr>
      </w:pPr>
      <w:r w:rsidRPr="00BB5DE9">
        <w:rPr>
          <w:b/>
          <w:bCs/>
          <w:color w:val="FF0000"/>
          <w:lang w:val="en-US"/>
        </w:rPr>
        <w:t xml:space="preserve"> </w:t>
      </w:r>
    </w:p>
    <w:p w14:paraId="512D9F7D" w14:textId="77777777" w:rsidR="00CA4587" w:rsidRPr="00BB5DE9" w:rsidRDefault="00CA4587" w:rsidP="00CA4587">
      <w:pPr>
        <w:rPr>
          <w:b/>
          <w:bCs/>
          <w:lang w:val="en-US"/>
        </w:rPr>
      </w:pPr>
      <w:r w:rsidRPr="00BB5DE9">
        <w:rPr>
          <w:b/>
          <w:bCs/>
          <w:lang w:val="en-US"/>
        </w:rPr>
        <w:t xml:space="preserve">Copyright © 2026 The World Bank </w:t>
      </w:r>
    </w:p>
    <w:p w14:paraId="5E4C5EB1" w14:textId="77777777" w:rsidR="00CA4587" w:rsidRPr="00BB5DE9" w:rsidRDefault="00CA4587" w:rsidP="00CA4587">
      <w:pPr>
        <w:rPr>
          <w:b/>
          <w:bCs/>
          <w:lang w:val="en-US"/>
        </w:rPr>
      </w:pPr>
      <w:bookmarkStart w:id="4" w:name="_heading=h.q3jqlui9ik3g" w:colFirst="0" w:colLast="0"/>
      <w:bookmarkEnd w:id="4"/>
      <w:r w:rsidRPr="00BB5DE9">
        <w:rPr>
          <w:b/>
          <w:bCs/>
          <w:lang w:val="en-US"/>
        </w:rPr>
        <w:t>1818 H Street NW, Washington DC 20433</w:t>
      </w:r>
    </w:p>
    <w:p w14:paraId="32D995CD" w14:textId="77777777" w:rsidR="00CA4587" w:rsidRDefault="00CA4587" w:rsidP="00CA4587">
      <w:pPr>
        <w:rPr>
          <w:b/>
          <w:bCs/>
        </w:rPr>
      </w:pPr>
      <w:bookmarkStart w:id="5" w:name="_heading=h.2pg32doe8bt1" w:colFirst="0" w:colLast="0"/>
      <w:bookmarkEnd w:id="5"/>
      <w:proofErr w:type="spellStart"/>
      <w:r w:rsidRPr="007F210E">
        <w:rPr>
          <w:b/>
          <w:bCs/>
        </w:rPr>
        <w:t>Telephone</w:t>
      </w:r>
      <w:proofErr w:type="spellEnd"/>
      <w:r w:rsidRPr="007F210E">
        <w:rPr>
          <w:b/>
          <w:bCs/>
        </w:rPr>
        <w:t>: 202-473-1000; internet: www. Worldbank.org</w:t>
      </w:r>
    </w:p>
    <w:p w14:paraId="6054A9B8" w14:textId="77777777" w:rsidR="00CA4587" w:rsidRDefault="00CA4587" w:rsidP="00CA4587">
      <w:pPr>
        <w:rPr>
          <w:b/>
          <w:bCs/>
        </w:rPr>
      </w:pPr>
    </w:p>
    <w:p w14:paraId="7FA1A69A" w14:textId="77777777" w:rsidR="00CA4587" w:rsidRDefault="00CA4587" w:rsidP="00CA4587">
      <w:pPr>
        <w:rPr>
          <w:b/>
          <w:bCs/>
        </w:rPr>
      </w:pPr>
    </w:p>
    <w:p w14:paraId="3A8DB2E5" w14:textId="77777777" w:rsidR="00CA4587" w:rsidRDefault="00CA4587" w:rsidP="00CA4587">
      <w:pPr>
        <w:rPr>
          <w:b/>
          <w:bCs/>
        </w:rPr>
      </w:pPr>
    </w:p>
    <w:p w14:paraId="5C018AD3" w14:textId="77777777" w:rsidR="00CA4587" w:rsidRDefault="00CA4587" w:rsidP="00CA4587">
      <w:pPr>
        <w:rPr>
          <w:b/>
          <w:bCs/>
        </w:rPr>
      </w:pPr>
    </w:p>
    <w:p w14:paraId="2AFFE64A" w14:textId="77777777" w:rsidR="00CA4587" w:rsidRDefault="00CA4587" w:rsidP="00CA4587">
      <w:pPr>
        <w:rPr>
          <w:b/>
          <w:bCs/>
        </w:rPr>
      </w:pPr>
    </w:p>
    <w:p w14:paraId="363274AF" w14:textId="77777777" w:rsidR="00CA4587" w:rsidRDefault="00CA4587" w:rsidP="00CA4587">
      <w:pPr>
        <w:rPr>
          <w:b/>
          <w:bCs/>
        </w:rPr>
      </w:pPr>
    </w:p>
    <w:p w14:paraId="48B32235" w14:textId="77777777" w:rsidR="00CA4587" w:rsidRDefault="00CA4587" w:rsidP="00CA4587">
      <w:pPr>
        <w:rPr>
          <w:b/>
          <w:bCs/>
        </w:rPr>
      </w:pPr>
    </w:p>
    <w:p w14:paraId="1B3433C8" w14:textId="77777777" w:rsidR="00CA4587" w:rsidRDefault="00CA4587" w:rsidP="00CA4587">
      <w:pPr>
        <w:rPr>
          <w:b/>
          <w:bCs/>
        </w:rPr>
      </w:pPr>
    </w:p>
    <w:p w14:paraId="3CB3420B" w14:textId="77777777" w:rsidR="00CA4587" w:rsidRDefault="00CA4587" w:rsidP="00CA4587">
      <w:pPr>
        <w:rPr>
          <w:b/>
          <w:bCs/>
        </w:rPr>
      </w:pPr>
    </w:p>
    <w:p w14:paraId="43F9774A" w14:textId="77777777" w:rsidR="00CA4587" w:rsidRDefault="00CA4587" w:rsidP="00CA4587">
      <w:pPr>
        <w:rPr>
          <w:b/>
          <w:bCs/>
        </w:rPr>
      </w:pPr>
    </w:p>
    <w:p w14:paraId="54621CCF" w14:textId="77777777" w:rsidR="00CA4587" w:rsidRPr="00250DA5" w:rsidRDefault="00CA4587" w:rsidP="00CA4587">
      <w:pPr>
        <w:rPr>
          <w:b/>
          <w:bCs/>
        </w:rPr>
      </w:pPr>
    </w:p>
    <w:p w14:paraId="52F8239D" w14:textId="77777777" w:rsidR="00CA4587" w:rsidRPr="00250DA5" w:rsidRDefault="00CA4587" w:rsidP="00CA4587">
      <w:pPr>
        <w:rPr>
          <w:b/>
          <w:bCs/>
        </w:rPr>
      </w:pPr>
      <w:bookmarkStart w:id="6" w:name="_heading=h.ncw0j5mvsx28" w:colFirst="0" w:colLast="0"/>
      <w:bookmarkEnd w:id="6"/>
      <w:r w:rsidRPr="00250DA5">
        <w:rPr>
          <w:b/>
          <w:bCs/>
        </w:rPr>
        <w:t xml:space="preserve"> </w:t>
      </w:r>
    </w:p>
    <w:p w14:paraId="147B25E4" w14:textId="77777777" w:rsidR="00CA4587" w:rsidRDefault="00CA4587" w:rsidP="00CA4587">
      <w:pPr>
        <w:jc w:val="both"/>
        <w:rPr>
          <w:b/>
          <w:bCs/>
        </w:rPr>
      </w:pPr>
      <w:bookmarkStart w:id="7" w:name="_heading=h.fdf85m2ky7h7" w:colFirst="0" w:colLast="0"/>
      <w:bookmarkEnd w:id="7"/>
    </w:p>
    <w:p w14:paraId="536945DD" w14:textId="77777777" w:rsidR="00CA4587" w:rsidRDefault="00CA4587" w:rsidP="00CA4587">
      <w:pPr>
        <w:jc w:val="both"/>
        <w:rPr>
          <w:b/>
          <w:bCs/>
        </w:rPr>
      </w:pPr>
    </w:p>
    <w:p w14:paraId="08AA054E" w14:textId="77777777" w:rsidR="00CA4587" w:rsidRDefault="00CA4587" w:rsidP="00CA4587">
      <w:pPr>
        <w:jc w:val="both"/>
        <w:rPr>
          <w:b/>
          <w:bCs/>
        </w:rPr>
      </w:pPr>
    </w:p>
    <w:p w14:paraId="7D9A48E4" w14:textId="77777777" w:rsidR="00CA4587" w:rsidRDefault="00CA4587" w:rsidP="00CA4587">
      <w:pPr>
        <w:jc w:val="both"/>
        <w:rPr>
          <w:b/>
          <w:bCs/>
        </w:rPr>
      </w:pPr>
    </w:p>
    <w:p w14:paraId="22EB3E94" w14:textId="77777777" w:rsidR="00CA4587" w:rsidRPr="00250DA5" w:rsidRDefault="00CA4587" w:rsidP="00CA4587">
      <w:pPr>
        <w:jc w:val="both"/>
        <w:rPr>
          <w:b/>
          <w:bCs/>
        </w:rPr>
      </w:pPr>
      <w:r w:rsidRPr="00250DA5">
        <w:rPr>
          <w:b/>
          <w:bCs/>
        </w:rPr>
        <w:lastRenderedPageBreak/>
        <w:t xml:space="preserve">Los hallazgos, interpretaciones y conclusiones expresados </w:t>
      </w:r>
      <w:r w:rsidRPr="00250DA5">
        <w:rPr>
          <w:rFonts w:ascii="Arial" w:hAnsi="Arial" w:cs="Arial"/>
          <w:b/>
          <w:bCs/>
        </w:rPr>
        <w:t>​​</w:t>
      </w:r>
      <w:r w:rsidRPr="00250DA5">
        <w:rPr>
          <w:b/>
          <w:bCs/>
        </w:rPr>
        <w:t xml:space="preserve">en esta publicación no deben atribuirse de ninguna manera al Banco Mundial. El material de esta obra está protegido por derechos de autor. La copia o transmisión, total o parcial, de esta obra puede constituir una infracción de la legislación aplicable. El Banco Mundial, SECO, y Departamento Nacional de Planeación DNP, fomentan la difusión de esta publicación y autorizan al usuario a copiar partes de la misma para su uso personal y no comercial, sin derecho alguno a revenderla, redistribuirla ni crear obras derivadas. Cualquier otra copia o uso de esta obra requiere el permiso expreso por escrito del Banco Mundial.  </w:t>
      </w:r>
    </w:p>
    <w:p w14:paraId="35CC6F09" w14:textId="77777777" w:rsidR="00CA4587" w:rsidRPr="00885AE2" w:rsidRDefault="00CA4587" w:rsidP="00CA4587">
      <w:pPr>
        <w:rPr>
          <w:b/>
          <w:bCs/>
        </w:rPr>
      </w:pPr>
    </w:p>
    <w:p w14:paraId="7ECC79BE" w14:textId="77777777" w:rsidR="00CA4587" w:rsidRDefault="00CA4587" w:rsidP="00CA4587"/>
    <w:p w14:paraId="0E2BB9EE" w14:textId="77777777" w:rsidR="008C03AC" w:rsidRDefault="008C03AC" w:rsidP="00CA4587">
      <w:pPr>
        <w:pStyle w:val="Ttulo1"/>
        <w:spacing w:before="480" w:after="120" w:line="276" w:lineRule="auto"/>
        <w:rPr>
          <w:rFonts w:ascii="Arial" w:eastAsia="Arial" w:hAnsi="Arial" w:cs="Arial"/>
          <w:b/>
          <w:bCs/>
          <w:color w:val="000000"/>
          <w:sz w:val="24"/>
          <w:szCs w:val="24"/>
        </w:rPr>
      </w:pPr>
    </w:p>
    <w:p w14:paraId="099B7E4A" w14:textId="77777777" w:rsidR="00CA4587" w:rsidRDefault="00CA4587" w:rsidP="00CA4587"/>
    <w:p w14:paraId="5335F256" w14:textId="77777777" w:rsidR="00CA4587" w:rsidRDefault="00CA4587" w:rsidP="00CA4587"/>
    <w:p w14:paraId="7C82620A" w14:textId="77777777" w:rsidR="00CA4587" w:rsidRDefault="00CA4587" w:rsidP="00CA4587"/>
    <w:p w14:paraId="37B6877E" w14:textId="77777777" w:rsidR="00CA4587" w:rsidRDefault="00CA4587" w:rsidP="00CA4587"/>
    <w:p w14:paraId="6B348C8E" w14:textId="77777777" w:rsidR="00A81B4E" w:rsidRDefault="00A81B4E" w:rsidP="00CA4587"/>
    <w:p w14:paraId="77E0D879" w14:textId="77777777" w:rsidR="00A81B4E" w:rsidRDefault="00A81B4E" w:rsidP="00CA4587"/>
    <w:p w14:paraId="5A14185D" w14:textId="77777777" w:rsidR="00A81B4E" w:rsidRDefault="00A81B4E" w:rsidP="00CA4587"/>
    <w:p w14:paraId="673731A5" w14:textId="77777777" w:rsidR="00A81B4E" w:rsidRDefault="00A81B4E" w:rsidP="00CA4587"/>
    <w:p w14:paraId="6883D805" w14:textId="77777777" w:rsidR="00A81B4E" w:rsidRDefault="00A81B4E" w:rsidP="00CA4587"/>
    <w:p w14:paraId="02F13E63" w14:textId="77777777" w:rsidR="00A81B4E" w:rsidRDefault="00A81B4E" w:rsidP="00CA4587"/>
    <w:p w14:paraId="363418C5" w14:textId="77777777" w:rsidR="00A81B4E" w:rsidRDefault="00A81B4E" w:rsidP="00CA4587"/>
    <w:p w14:paraId="6248FF26" w14:textId="77777777" w:rsidR="00CA4587" w:rsidRPr="00CA4587" w:rsidRDefault="00CA4587" w:rsidP="00CA4587"/>
    <w:p w14:paraId="69C16A5C" w14:textId="77777777" w:rsidR="00CA4587" w:rsidRDefault="00CA4587" w:rsidP="00CA4587">
      <w:pPr>
        <w:pStyle w:val="Ttulo1"/>
        <w:spacing w:before="0" w:after="160" w:line="276" w:lineRule="auto"/>
        <w:rPr>
          <w:rFonts w:ascii="Arial" w:eastAsia="Arial" w:hAnsi="Arial" w:cs="Arial"/>
          <w:b/>
          <w:bCs/>
          <w:color w:val="000000"/>
          <w:sz w:val="24"/>
          <w:szCs w:val="24"/>
        </w:rPr>
      </w:pPr>
    </w:p>
    <w:sdt>
      <w:sdtPr>
        <w:rPr>
          <w:rFonts w:ascii="Aptos" w:eastAsia="Aptos" w:hAnsi="Aptos" w:cs="Aptos"/>
          <w:color w:val="auto"/>
          <w:sz w:val="24"/>
          <w:szCs w:val="24"/>
          <w:lang w:val="es-CO"/>
        </w:rPr>
        <w:id w:val="1598758524"/>
        <w:docPartObj>
          <w:docPartGallery w:val="Table of Contents"/>
          <w:docPartUnique/>
        </w:docPartObj>
      </w:sdtPr>
      <w:sdtEndPr>
        <w:rPr>
          <w:b/>
          <w:bCs/>
        </w:rPr>
      </w:sdtEndPr>
      <w:sdtContent>
        <w:p w14:paraId="4D6AD250" w14:textId="05C69DF2" w:rsidR="00A81B4E" w:rsidRDefault="00A81B4E">
          <w:pPr>
            <w:pStyle w:val="TtuloTDC"/>
            <w:rPr>
              <w:rStyle w:val="Hipervnculo"/>
              <w:rFonts w:ascii="Arial" w:eastAsia="Aptos" w:hAnsi="Arial" w:cs="Arial"/>
              <w:b/>
              <w:bCs/>
              <w:noProof/>
              <w:color w:val="000000" w:themeColor="text1"/>
              <w:sz w:val="24"/>
              <w:szCs w:val="24"/>
              <w:u w:val="none"/>
              <w:lang w:val="es-CO"/>
            </w:rPr>
          </w:pPr>
          <w:r w:rsidRPr="001923ED">
            <w:rPr>
              <w:rStyle w:val="Hipervnculo"/>
              <w:rFonts w:ascii="Arial" w:eastAsia="Aptos" w:hAnsi="Arial" w:cs="Arial"/>
              <w:b/>
              <w:bCs/>
              <w:noProof/>
              <w:color w:val="000000" w:themeColor="text1"/>
              <w:sz w:val="24"/>
              <w:szCs w:val="24"/>
              <w:u w:val="none"/>
              <w:lang w:val="es-CO"/>
            </w:rPr>
            <w:t>Contenido</w:t>
          </w:r>
        </w:p>
        <w:p w14:paraId="0D9CF669" w14:textId="77777777" w:rsidR="001923ED" w:rsidRPr="001923ED" w:rsidRDefault="001923ED" w:rsidP="001923ED"/>
        <w:p w14:paraId="637E4A42" w14:textId="1D592BBD" w:rsidR="007733E7" w:rsidRDefault="00A81B4E">
          <w:pPr>
            <w:pStyle w:val="TDC1"/>
            <w:rPr>
              <w:rFonts w:asciiTheme="minorHAnsi" w:eastAsiaTheme="minorEastAsia" w:hAnsiTheme="minorHAnsi" w:cstheme="minorBidi"/>
              <w:noProof/>
              <w:kern w:val="2"/>
              <w:lang w:val="es-ES"/>
              <w14:ligatures w14:val="standardContextual"/>
            </w:rPr>
          </w:pPr>
          <w:r>
            <w:fldChar w:fldCharType="begin"/>
          </w:r>
          <w:r>
            <w:instrText xml:space="preserve"> TOC \o "1-3" \h \z \u </w:instrText>
          </w:r>
          <w:r>
            <w:fldChar w:fldCharType="separate"/>
          </w:r>
          <w:hyperlink w:anchor="_Toc232418195" w:history="1">
            <w:r w:rsidR="007733E7" w:rsidRPr="00556DA1">
              <w:rPr>
                <w:rStyle w:val="Hipervnculo"/>
                <w:rFonts w:ascii="Arial" w:eastAsia="Arial" w:hAnsi="Arial" w:cs="Arial"/>
                <w:b/>
                <w:bCs/>
                <w:noProof/>
              </w:rPr>
              <w:t>Índice de Gráficas</w:t>
            </w:r>
            <w:r w:rsidR="007733E7">
              <w:rPr>
                <w:noProof/>
                <w:webHidden/>
              </w:rPr>
              <w:tab/>
            </w:r>
            <w:r w:rsidR="007733E7">
              <w:rPr>
                <w:noProof/>
                <w:webHidden/>
              </w:rPr>
              <w:fldChar w:fldCharType="begin"/>
            </w:r>
            <w:r w:rsidR="007733E7">
              <w:rPr>
                <w:noProof/>
                <w:webHidden/>
              </w:rPr>
              <w:instrText xml:space="preserve"> PAGEREF _Toc232418195 \h </w:instrText>
            </w:r>
            <w:r w:rsidR="007733E7">
              <w:rPr>
                <w:noProof/>
                <w:webHidden/>
              </w:rPr>
            </w:r>
            <w:r w:rsidR="007733E7">
              <w:rPr>
                <w:noProof/>
                <w:webHidden/>
              </w:rPr>
              <w:fldChar w:fldCharType="separate"/>
            </w:r>
            <w:r w:rsidR="007733E7">
              <w:rPr>
                <w:noProof/>
                <w:webHidden/>
              </w:rPr>
              <w:t>8</w:t>
            </w:r>
            <w:r w:rsidR="007733E7">
              <w:rPr>
                <w:noProof/>
                <w:webHidden/>
              </w:rPr>
              <w:fldChar w:fldCharType="end"/>
            </w:r>
          </w:hyperlink>
        </w:p>
        <w:p w14:paraId="7EF3A4E8" w14:textId="068D6B25" w:rsidR="007733E7" w:rsidRDefault="007733E7">
          <w:pPr>
            <w:pStyle w:val="TDC1"/>
            <w:rPr>
              <w:rFonts w:asciiTheme="minorHAnsi" w:eastAsiaTheme="minorEastAsia" w:hAnsiTheme="minorHAnsi" w:cstheme="minorBidi"/>
              <w:noProof/>
              <w:kern w:val="2"/>
              <w:lang w:val="es-ES"/>
              <w14:ligatures w14:val="standardContextual"/>
            </w:rPr>
          </w:pPr>
          <w:hyperlink w:anchor="_Toc232418196" w:history="1">
            <w:r w:rsidRPr="00556DA1">
              <w:rPr>
                <w:rStyle w:val="Hipervnculo"/>
                <w:rFonts w:ascii="Arial" w:hAnsi="Arial" w:cs="Arial"/>
                <w:b/>
                <w:bCs/>
                <w:noProof/>
              </w:rPr>
              <w:t>Generalidades</w:t>
            </w:r>
            <w:r>
              <w:rPr>
                <w:noProof/>
                <w:webHidden/>
              </w:rPr>
              <w:tab/>
            </w:r>
            <w:r>
              <w:rPr>
                <w:noProof/>
                <w:webHidden/>
              </w:rPr>
              <w:fldChar w:fldCharType="begin"/>
            </w:r>
            <w:r>
              <w:rPr>
                <w:noProof/>
                <w:webHidden/>
              </w:rPr>
              <w:instrText xml:space="preserve"> PAGEREF _Toc232418196 \h </w:instrText>
            </w:r>
            <w:r>
              <w:rPr>
                <w:noProof/>
                <w:webHidden/>
              </w:rPr>
            </w:r>
            <w:r>
              <w:rPr>
                <w:noProof/>
                <w:webHidden/>
              </w:rPr>
              <w:fldChar w:fldCharType="separate"/>
            </w:r>
            <w:r>
              <w:rPr>
                <w:noProof/>
                <w:webHidden/>
              </w:rPr>
              <w:t>9</w:t>
            </w:r>
            <w:r>
              <w:rPr>
                <w:noProof/>
                <w:webHidden/>
              </w:rPr>
              <w:fldChar w:fldCharType="end"/>
            </w:r>
          </w:hyperlink>
        </w:p>
        <w:p w14:paraId="640A5DCD" w14:textId="0AFDBBA9" w:rsidR="007733E7" w:rsidRDefault="007733E7">
          <w:pPr>
            <w:pStyle w:val="TDC1"/>
            <w:rPr>
              <w:rFonts w:asciiTheme="minorHAnsi" w:eastAsiaTheme="minorEastAsia" w:hAnsiTheme="minorHAnsi" w:cstheme="minorBidi"/>
              <w:noProof/>
              <w:kern w:val="2"/>
              <w:lang w:val="es-ES"/>
              <w14:ligatures w14:val="standardContextual"/>
            </w:rPr>
          </w:pPr>
          <w:hyperlink w:anchor="_Toc232418197" w:history="1">
            <w:r w:rsidRPr="00556DA1">
              <w:rPr>
                <w:rStyle w:val="Hipervnculo"/>
                <w:rFonts w:ascii="Arial" w:eastAsia="Arial" w:hAnsi="Arial" w:cs="Arial"/>
                <w:b/>
                <w:bCs/>
                <w:noProof/>
              </w:rPr>
              <w:t>Resumen</w:t>
            </w:r>
            <w:r>
              <w:rPr>
                <w:noProof/>
                <w:webHidden/>
              </w:rPr>
              <w:tab/>
            </w:r>
            <w:r>
              <w:rPr>
                <w:noProof/>
                <w:webHidden/>
              </w:rPr>
              <w:fldChar w:fldCharType="begin"/>
            </w:r>
            <w:r>
              <w:rPr>
                <w:noProof/>
                <w:webHidden/>
              </w:rPr>
              <w:instrText xml:space="preserve"> PAGEREF _Toc232418197 \h </w:instrText>
            </w:r>
            <w:r>
              <w:rPr>
                <w:noProof/>
                <w:webHidden/>
              </w:rPr>
            </w:r>
            <w:r>
              <w:rPr>
                <w:noProof/>
                <w:webHidden/>
              </w:rPr>
              <w:fldChar w:fldCharType="separate"/>
            </w:r>
            <w:r>
              <w:rPr>
                <w:noProof/>
                <w:webHidden/>
              </w:rPr>
              <w:t>10</w:t>
            </w:r>
            <w:r>
              <w:rPr>
                <w:noProof/>
                <w:webHidden/>
              </w:rPr>
              <w:fldChar w:fldCharType="end"/>
            </w:r>
          </w:hyperlink>
        </w:p>
        <w:p w14:paraId="7CBD75AF" w14:textId="16517BE0" w:rsidR="007733E7" w:rsidRDefault="007733E7">
          <w:pPr>
            <w:pStyle w:val="TDC1"/>
            <w:rPr>
              <w:rFonts w:asciiTheme="minorHAnsi" w:eastAsiaTheme="minorEastAsia" w:hAnsiTheme="minorHAnsi" w:cstheme="minorBidi"/>
              <w:noProof/>
              <w:kern w:val="2"/>
              <w:lang w:val="es-ES"/>
              <w14:ligatures w14:val="standardContextual"/>
            </w:rPr>
          </w:pPr>
          <w:hyperlink w:anchor="_Toc232418198" w:history="1">
            <w:r w:rsidRPr="00556DA1">
              <w:rPr>
                <w:rStyle w:val="Hipervnculo"/>
                <w:rFonts w:ascii="Arial" w:eastAsia="Arial" w:hAnsi="Arial" w:cs="Arial"/>
                <w:b/>
                <w:bCs/>
                <w:noProof/>
              </w:rPr>
              <w:t>Introducción</w:t>
            </w:r>
            <w:r>
              <w:rPr>
                <w:noProof/>
                <w:webHidden/>
              </w:rPr>
              <w:tab/>
            </w:r>
            <w:r>
              <w:rPr>
                <w:noProof/>
                <w:webHidden/>
              </w:rPr>
              <w:fldChar w:fldCharType="begin"/>
            </w:r>
            <w:r>
              <w:rPr>
                <w:noProof/>
                <w:webHidden/>
              </w:rPr>
              <w:instrText xml:space="preserve"> PAGEREF _Toc232418198 \h </w:instrText>
            </w:r>
            <w:r>
              <w:rPr>
                <w:noProof/>
                <w:webHidden/>
              </w:rPr>
            </w:r>
            <w:r>
              <w:rPr>
                <w:noProof/>
                <w:webHidden/>
              </w:rPr>
              <w:fldChar w:fldCharType="separate"/>
            </w:r>
            <w:r>
              <w:rPr>
                <w:noProof/>
                <w:webHidden/>
              </w:rPr>
              <w:t>12</w:t>
            </w:r>
            <w:r>
              <w:rPr>
                <w:noProof/>
                <w:webHidden/>
              </w:rPr>
              <w:fldChar w:fldCharType="end"/>
            </w:r>
          </w:hyperlink>
        </w:p>
        <w:p w14:paraId="0B58B037" w14:textId="4EA5A3CB" w:rsidR="007733E7" w:rsidRDefault="007733E7">
          <w:pPr>
            <w:pStyle w:val="TDC1"/>
            <w:rPr>
              <w:rFonts w:asciiTheme="minorHAnsi" w:eastAsiaTheme="minorEastAsia" w:hAnsiTheme="minorHAnsi" w:cstheme="minorBidi"/>
              <w:noProof/>
              <w:kern w:val="2"/>
              <w:lang w:val="es-ES"/>
              <w14:ligatures w14:val="standardContextual"/>
            </w:rPr>
          </w:pPr>
          <w:hyperlink w:anchor="_Toc232418199" w:history="1">
            <w:r w:rsidRPr="00556DA1">
              <w:rPr>
                <w:rStyle w:val="Hipervnculo"/>
                <w:rFonts w:ascii="Arial" w:eastAsia="Arial" w:hAnsi="Arial" w:cs="Arial"/>
                <w:b/>
                <w:bCs/>
                <w:noProof/>
              </w:rPr>
              <w:t>Capítulo 1.</w:t>
            </w:r>
            <w:r>
              <w:rPr>
                <w:noProof/>
                <w:webHidden/>
              </w:rPr>
              <w:tab/>
            </w:r>
            <w:r>
              <w:rPr>
                <w:noProof/>
                <w:webHidden/>
              </w:rPr>
              <w:fldChar w:fldCharType="begin"/>
            </w:r>
            <w:r>
              <w:rPr>
                <w:noProof/>
                <w:webHidden/>
              </w:rPr>
              <w:instrText xml:space="preserve"> PAGEREF _Toc232418199 \h </w:instrText>
            </w:r>
            <w:r>
              <w:rPr>
                <w:noProof/>
                <w:webHidden/>
              </w:rPr>
            </w:r>
            <w:r>
              <w:rPr>
                <w:noProof/>
                <w:webHidden/>
              </w:rPr>
              <w:fldChar w:fldCharType="separate"/>
            </w:r>
            <w:r>
              <w:rPr>
                <w:noProof/>
                <w:webHidden/>
              </w:rPr>
              <w:t>13</w:t>
            </w:r>
            <w:r>
              <w:rPr>
                <w:noProof/>
                <w:webHidden/>
              </w:rPr>
              <w:fldChar w:fldCharType="end"/>
            </w:r>
          </w:hyperlink>
        </w:p>
        <w:p w14:paraId="646CE859" w14:textId="0E7D0126" w:rsidR="007733E7" w:rsidRDefault="007733E7">
          <w:pPr>
            <w:pStyle w:val="TDC1"/>
            <w:rPr>
              <w:rFonts w:asciiTheme="minorHAnsi" w:eastAsiaTheme="minorEastAsia" w:hAnsiTheme="minorHAnsi" w:cstheme="minorBidi"/>
              <w:noProof/>
              <w:kern w:val="2"/>
              <w:lang w:val="es-ES"/>
              <w14:ligatures w14:val="standardContextual"/>
            </w:rPr>
          </w:pPr>
          <w:hyperlink w:anchor="_Toc232418200" w:history="1">
            <w:r w:rsidRPr="00556DA1">
              <w:rPr>
                <w:rStyle w:val="Hipervnculo"/>
                <w:rFonts w:ascii="Arial" w:eastAsia="Arial" w:hAnsi="Arial" w:cs="Arial"/>
                <w:b/>
                <w:bCs/>
                <w:noProof/>
              </w:rPr>
              <w:t>Generalidades y definiciones</w:t>
            </w:r>
            <w:r>
              <w:rPr>
                <w:noProof/>
                <w:webHidden/>
              </w:rPr>
              <w:tab/>
            </w:r>
            <w:r>
              <w:rPr>
                <w:noProof/>
                <w:webHidden/>
              </w:rPr>
              <w:fldChar w:fldCharType="begin"/>
            </w:r>
            <w:r>
              <w:rPr>
                <w:noProof/>
                <w:webHidden/>
              </w:rPr>
              <w:instrText xml:space="preserve"> PAGEREF _Toc232418200 \h </w:instrText>
            </w:r>
            <w:r>
              <w:rPr>
                <w:noProof/>
                <w:webHidden/>
              </w:rPr>
            </w:r>
            <w:r>
              <w:rPr>
                <w:noProof/>
                <w:webHidden/>
              </w:rPr>
              <w:fldChar w:fldCharType="separate"/>
            </w:r>
            <w:r>
              <w:rPr>
                <w:noProof/>
                <w:webHidden/>
              </w:rPr>
              <w:t>13</w:t>
            </w:r>
            <w:r>
              <w:rPr>
                <w:noProof/>
                <w:webHidden/>
              </w:rPr>
              <w:fldChar w:fldCharType="end"/>
            </w:r>
          </w:hyperlink>
        </w:p>
        <w:p w14:paraId="411A8B47" w14:textId="13E39EA0"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01" w:history="1">
            <w:r w:rsidRPr="00556DA1">
              <w:rPr>
                <w:rStyle w:val="Hipervnculo"/>
                <w:rFonts w:ascii="Arial" w:hAnsi="Arial" w:cs="Arial"/>
                <w:b/>
                <w:bCs/>
                <w:noProof/>
              </w:rPr>
              <w:t>1.1. ¿Cuál es el objetivo de la cartilla?</w:t>
            </w:r>
            <w:r>
              <w:rPr>
                <w:noProof/>
                <w:webHidden/>
              </w:rPr>
              <w:tab/>
            </w:r>
            <w:r>
              <w:rPr>
                <w:noProof/>
                <w:webHidden/>
              </w:rPr>
              <w:fldChar w:fldCharType="begin"/>
            </w:r>
            <w:r>
              <w:rPr>
                <w:noProof/>
                <w:webHidden/>
              </w:rPr>
              <w:instrText xml:space="preserve"> PAGEREF _Toc232418201 \h </w:instrText>
            </w:r>
            <w:r>
              <w:rPr>
                <w:noProof/>
                <w:webHidden/>
              </w:rPr>
            </w:r>
            <w:r>
              <w:rPr>
                <w:noProof/>
                <w:webHidden/>
              </w:rPr>
              <w:fldChar w:fldCharType="separate"/>
            </w:r>
            <w:r>
              <w:rPr>
                <w:noProof/>
                <w:webHidden/>
              </w:rPr>
              <w:t>13</w:t>
            </w:r>
            <w:r>
              <w:rPr>
                <w:noProof/>
                <w:webHidden/>
              </w:rPr>
              <w:fldChar w:fldCharType="end"/>
            </w:r>
          </w:hyperlink>
        </w:p>
        <w:p w14:paraId="325E00AE" w14:textId="7636B8F5"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02" w:history="1">
            <w:r w:rsidRPr="00556DA1">
              <w:rPr>
                <w:rStyle w:val="Hipervnculo"/>
                <w:rFonts w:ascii="Arial" w:hAnsi="Arial" w:cs="Arial"/>
                <w:b/>
                <w:bCs/>
                <w:noProof/>
              </w:rPr>
              <w:t>1.2. ¿Cuál es el alcance y las limitaciones de la Cartilla?</w:t>
            </w:r>
            <w:r>
              <w:rPr>
                <w:noProof/>
                <w:webHidden/>
              </w:rPr>
              <w:tab/>
            </w:r>
            <w:r>
              <w:rPr>
                <w:noProof/>
                <w:webHidden/>
              </w:rPr>
              <w:fldChar w:fldCharType="begin"/>
            </w:r>
            <w:r>
              <w:rPr>
                <w:noProof/>
                <w:webHidden/>
              </w:rPr>
              <w:instrText xml:space="preserve"> PAGEREF _Toc232418202 \h </w:instrText>
            </w:r>
            <w:r>
              <w:rPr>
                <w:noProof/>
                <w:webHidden/>
              </w:rPr>
            </w:r>
            <w:r>
              <w:rPr>
                <w:noProof/>
                <w:webHidden/>
              </w:rPr>
              <w:fldChar w:fldCharType="separate"/>
            </w:r>
            <w:r>
              <w:rPr>
                <w:noProof/>
                <w:webHidden/>
              </w:rPr>
              <w:t>13</w:t>
            </w:r>
            <w:r>
              <w:rPr>
                <w:noProof/>
                <w:webHidden/>
              </w:rPr>
              <w:fldChar w:fldCharType="end"/>
            </w:r>
          </w:hyperlink>
        </w:p>
        <w:p w14:paraId="5B4CDD8A" w14:textId="5A288C81"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03" w:history="1">
            <w:r w:rsidRPr="00556DA1">
              <w:rPr>
                <w:rStyle w:val="Hipervnculo"/>
                <w:rFonts w:ascii="Arial" w:hAnsi="Arial" w:cs="Arial"/>
                <w:b/>
                <w:bCs/>
                <w:noProof/>
              </w:rPr>
              <w:t>1.3. ¿En qué consiste la legalización de los bienes de uso público?</w:t>
            </w:r>
            <w:r>
              <w:rPr>
                <w:noProof/>
                <w:webHidden/>
              </w:rPr>
              <w:tab/>
            </w:r>
            <w:r>
              <w:rPr>
                <w:noProof/>
                <w:webHidden/>
              </w:rPr>
              <w:fldChar w:fldCharType="begin"/>
            </w:r>
            <w:r>
              <w:rPr>
                <w:noProof/>
                <w:webHidden/>
              </w:rPr>
              <w:instrText xml:space="preserve"> PAGEREF _Toc232418203 \h </w:instrText>
            </w:r>
            <w:r>
              <w:rPr>
                <w:noProof/>
                <w:webHidden/>
              </w:rPr>
            </w:r>
            <w:r>
              <w:rPr>
                <w:noProof/>
                <w:webHidden/>
              </w:rPr>
              <w:fldChar w:fldCharType="separate"/>
            </w:r>
            <w:r>
              <w:rPr>
                <w:noProof/>
                <w:webHidden/>
              </w:rPr>
              <w:t>13</w:t>
            </w:r>
            <w:r>
              <w:rPr>
                <w:noProof/>
                <w:webHidden/>
              </w:rPr>
              <w:fldChar w:fldCharType="end"/>
            </w:r>
          </w:hyperlink>
        </w:p>
        <w:p w14:paraId="2EDBD82B" w14:textId="6912563E"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04" w:history="1">
            <w:r w:rsidRPr="00556DA1">
              <w:rPr>
                <w:rStyle w:val="Hipervnculo"/>
                <w:rFonts w:ascii="Arial" w:hAnsi="Arial" w:cs="Arial"/>
                <w:b/>
                <w:bCs/>
                <w:noProof/>
              </w:rPr>
              <w:t>1.4. Contexto normativo</w:t>
            </w:r>
            <w:r>
              <w:rPr>
                <w:noProof/>
                <w:webHidden/>
              </w:rPr>
              <w:tab/>
            </w:r>
            <w:r>
              <w:rPr>
                <w:noProof/>
                <w:webHidden/>
              </w:rPr>
              <w:fldChar w:fldCharType="begin"/>
            </w:r>
            <w:r>
              <w:rPr>
                <w:noProof/>
                <w:webHidden/>
              </w:rPr>
              <w:instrText xml:space="preserve"> PAGEREF _Toc232418204 \h </w:instrText>
            </w:r>
            <w:r>
              <w:rPr>
                <w:noProof/>
                <w:webHidden/>
              </w:rPr>
            </w:r>
            <w:r>
              <w:rPr>
                <w:noProof/>
                <w:webHidden/>
              </w:rPr>
              <w:fldChar w:fldCharType="separate"/>
            </w:r>
            <w:r>
              <w:rPr>
                <w:noProof/>
                <w:webHidden/>
              </w:rPr>
              <w:t>14</w:t>
            </w:r>
            <w:r>
              <w:rPr>
                <w:noProof/>
                <w:webHidden/>
              </w:rPr>
              <w:fldChar w:fldCharType="end"/>
            </w:r>
          </w:hyperlink>
        </w:p>
        <w:p w14:paraId="4300A5B7" w14:textId="71EAD2B7"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05" w:history="1">
            <w:r w:rsidRPr="00556DA1">
              <w:rPr>
                <w:rStyle w:val="Hipervnculo"/>
                <w:rFonts w:ascii="Arial" w:hAnsi="Arial" w:cs="Arial"/>
                <w:b/>
                <w:bCs/>
                <w:noProof/>
              </w:rPr>
              <w:t>1.5 Conceptos básicos</w:t>
            </w:r>
            <w:r>
              <w:rPr>
                <w:noProof/>
                <w:webHidden/>
              </w:rPr>
              <w:tab/>
            </w:r>
            <w:r>
              <w:rPr>
                <w:noProof/>
                <w:webHidden/>
              </w:rPr>
              <w:fldChar w:fldCharType="begin"/>
            </w:r>
            <w:r>
              <w:rPr>
                <w:noProof/>
                <w:webHidden/>
              </w:rPr>
              <w:instrText xml:space="preserve"> PAGEREF _Toc232418205 \h </w:instrText>
            </w:r>
            <w:r>
              <w:rPr>
                <w:noProof/>
                <w:webHidden/>
              </w:rPr>
            </w:r>
            <w:r>
              <w:rPr>
                <w:noProof/>
                <w:webHidden/>
              </w:rPr>
              <w:fldChar w:fldCharType="separate"/>
            </w:r>
            <w:r>
              <w:rPr>
                <w:noProof/>
                <w:webHidden/>
              </w:rPr>
              <w:t>14</w:t>
            </w:r>
            <w:r>
              <w:rPr>
                <w:noProof/>
                <w:webHidden/>
              </w:rPr>
              <w:fldChar w:fldCharType="end"/>
            </w:r>
          </w:hyperlink>
        </w:p>
        <w:p w14:paraId="0AE22AE3" w14:textId="76275F3B" w:rsidR="007733E7" w:rsidRDefault="007733E7">
          <w:pPr>
            <w:pStyle w:val="TDC1"/>
            <w:rPr>
              <w:rFonts w:asciiTheme="minorHAnsi" w:eastAsiaTheme="minorEastAsia" w:hAnsiTheme="minorHAnsi" w:cstheme="minorBidi"/>
              <w:noProof/>
              <w:kern w:val="2"/>
              <w:lang w:val="es-ES"/>
              <w14:ligatures w14:val="standardContextual"/>
            </w:rPr>
          </w:pPr>
          <w:hyperlink w:anchor="_Toc232418206" w:history="1">
            <w:r w:rsidRPr="00556DA1">
              <w:rPr>
                <w:rStyle w:val="Hipervnculo"/>
                <w:rFonts w:ascii="Arial" w:hAnsi="Arial" w:cs="Arial"/>
                <w:b/>
                <w:bCs/>
                <w:noProof/>
              </w:rPr>
              <w:t>Capítulo 2.</w:t>
            </w:r>
            <w:r>
              <w:rPr>
                <w:noProof/>
                <w:webHidden/>
              </w:rPr>
              <w:tab/>
            </w:r>
            <w:r>
              <w:rPr>
                <w:noProof/>
                <w:webHidden/>
              </w:rPr>
              <w:fldChar w:fldCharType="begin"/>
            </w:r>
            <w:r>
              <w:rPr>
                <w:noProof/>
                <w:webHidden/>
              </w:rPr>
              <w:instrText xml:space="preserve"> PAGEREF _Toc232418206 \h </w:instrText>
            </w:r>
            <w:r>
              <w:rPr>
                <w:noProof/>
                <w:webHidden/>
              </w:rPr>
            </w:r>
            <w:r>
              <w:rPr>
                <w:noProof/>
                <w:webHidden/>
              </w:rPr>
              <w:fldChar w:fldCharType="separate"/>
            </w:r>
            <w:r>
              <w:rPr>
                <w:noProof/>
                <w:webHidden/>
              </w:rPr>
              <w:t>16</w:t>
            </w:r>
            <w:r>
              <w:rPr>
                <w:noProof/>
                <w:webHidden/>
              </w:rPr>
              <w:fldChar w:fldCharType="end"/>
            </w:r>
          </w:hyperlink>
        </w:p>
        <w:p w14:paraId="2193EBEE" w14:textId="65D75EB9" w:rsidR="007733E7" w:rsidRDefault="007733E7">
          <w:pPr>
            <w:pStyle w:val="TDC1"/>
            <w:rPr>
              <w:rFonts w:asciiTheme="minorHAnsi" w:eastAsiaTheme="minorEastAsia" w:hAnsiTheme="minorHAnsi" w:cstheme="minorBidi"/>
              <w:noProof/>
              <w:kern w:val="2"/>
              <w:lang w:val="es-ES"/>
              <w14:ligatures w14:val="standardContextual"/>
            </w:rPr>
          </w:pPr>
          <w:hyperlink w:anchor="_Toc232418207" w:history="1">
            <w:r w:rsidRPr="00556DA1">
              <w:rPr>
                <w:rStyle w:val="Hipervnculo"/>
                <w:rFonts w:ascii="Arial" w:hAnsi="Arial" w:cs="Arial"/>
                <w:b/>
                <w:bCs/>
                <w:noProof/>
              </w:rPr>
              <w:t>Procedimiento para la Declaratoria de Espacio Público</w:t>
            </w:r>
            <w:r>
              <w:rPr>
                <w:noProof/>
                <w:webHidden/>
              </w:rPr>
              <w:tab/>
            </w:r>
            <w:r>
              <w:rPr>
                <w:noProof/>
                <w:webHidden/>
              </w:rPr>
              <w:fldChar w:fldCharType="begin"/>
            </w:r>
            <w:r>
              <w:rPr>
                <w:noProof/>
                <w:webHidden/>
              </w:rPr>
              <w:instrText xml:space="preserve"> PAGEREF _Toc232418207 \h </w:instrText>
            </w:r>
            <w:r>
              <w:rPr>
                <w:noProof/>
                <w:webHidden/>
              </w:rPr>
            </w:r>
            <w:r>
              <w:rPr>
                <w:noProof/>
                <w:webHidden/>
              </w:rPr>
              <w:fldChar w:fldCharType="separate"/>
            </w:r>
            <w:r>
              <w:rPr>
                <w:noProof/>
                <w:webHidden/>
              </w:rPr>
              <w:t>16</w:t>
            </w:r>
            <w:r>
              <w:rPr>
                <w:noProof/>
                <w:webHidden/>
              </w:rPr>
              <w:fldChar w:fldCharType="end"/>
            </w:r>
          </w:hyperlink>
        </w:p>
        <w:p w14:paraId="42CEDC68" w14:textId="19E2D317"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08" w:history="1">
            <w:r w:rsidRPr="00556DA1">
              <w:rPr>
                <w:rStyle w:val="Hipervnculo"/>
                <w:rFonts w:ascii="Arial" w:hAnsi="Arial" w:cs="Arial"/>
                <w:b/>
                <w:bCs/>
                <w:noProof/>
              </w:rPr>
              <w:t>2.1 Verificación Previa a la Declaratoria del Espacio Público</w:t>
            </w:r>
            <w:r>
              <w:rPr>
                <w:noProof/>
                <w:webHidden/>
              </w:rPr>
              <w:tab/>
            </w:r>
            <w:r>
              <w:rPr>
                <w:noProof/>
                <w:webHidden/>
              </w:rPr>
              <w:fldChar w:fldCharType="begin"/>
            </w:r>
            <w:r>
              <w:rPr>
                <w:noProof/>
                <w:webHidden/>
              </w:rPr>
              <w:instrText xml:space="preserve"> PAGEREF _Toc232418208 \h </w:instrText>
            </w:r>
            <w:r>
              <w:rPr>
                <w:noProof/>
                <w:webHidden/>
              </w:rPr>
            </w:r>
            <w:r>
              <w:rPr>
                <w:noProof/>
                <w:webHidden/>
              </w:rPr>
              <w:fldChar w:fldCharType="separate"/>
            </w:r>
            <w:r>
              <w:rPr>
                <w:noProof/>
                <w:webHidden/>
              </w:rPr>
              <w:t>16</w:t>
            </w:r>
            <w:r>
              <w:rPr>
                <w:noProof/>
                <w:webHidden/>
              </w:rPr>
              <w:fldChar w:fldCharType="end"/>
            </w:r>
          </w:hyperlink>
        </w:p>
        <w:p w14:paraId="14EA5E8C" w14:textId="0E049AEC"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09" w:history="1">
            <w:r w:rsidRPr="00556DA1">
              <w:rPr>
                <w:rStyle w:val="Hipervnculo"/>
                <w:rFonts w:ascii="Arial" w:hAnsi="Arial" w:cs="Arial"/>
                <w:b/>
                <w:bCs/>
                <w:noProof/>
              </w:rPr>
              <w:t>2.2 Declaratoria de espacio público en predios de dominio privado y dominio público</w:t>
            </w:r>
            <w:r>
              <w:rPr>
                <w:noProof/>
                <w:webHidden/>
              </w:rPr>
              <w:tab/>
            </w:r>
            <w:r>
              <w:rPr>
                <w:noProof/>
                <w:webHidden/>
              </w:rPr>
              <w:fldChar w:fldCharType="begin"/>
            </w:r>
            <w:r>
              <w:rPr>
                <w:noProof/>
                <w:webHidden/>
              </w:rPr>
              <w:instrText xml:space="preserve"> PAGEREF _Toc232418209 \h </w:instrText>
            </w:r>
            <w:r>
              <w:rPr>
                <w:noProof/>
                <w:webHidden/>
              </w:rPr>
            </w:r>
            <w:r>
              <w:rPr>
                <w:noProof/>
                <w:webHidden/>
              </w:rPr>
              <w:fldChar w:fldCharType="separate"/>
            </w:r>
            <w:r>
              <w:rPr>
                <w:noProof/>
                <w:webHidden/>
              </w:rPr>
              <w:t>18</w:t>
            </w:r>
            <w:r>
              <w:rPr>
                <w:noProof/>
                <w:webHidden/>
              </w:rPr>
              <w:fldChar w:fldCharType="end"/>
            </w:r>
          </w:hyperlink>
        </w:p>
        <w:p w14:paraId="7E39CF63" w14:textId="6B23A301"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0" w:history="1">
            <w:r w:rsidRPr="00556DA1">
              <w:rPr>
                <w:rStyle w:val="Hipervnculo"/>
                <w:rFonts w:ascii="Arial" w:hAnsi="Arial" w:cs="Arial"/>
                <w:b/>
                <w:bCs/>
                <w:noProof/>
              </w:rPr>
              <w:t>2.3 Paso 1.  Estudio Técnico Jurídico</w:t>
            </w:r>
            <w:r>
              <w:rPr>
                <w:noProof/>
                <w:webHidden/>
              </w:rPr>
              <w:tab/>
            </w:r>
            <w:r>
              <w:rPr>
                <w:noProof/>
                <w:webHidden/>
              </w:rPr>
              <w:fldChar w:fldCharType="begin"/>
            </w:r>
            <w:r>
              <w:rPr>
                <w:noProof/>
                <w:webHidden/>
              </w:rPr>
              <w:instrText xml:space="preserve"> PAGEREF _Toc232418210 \h </w:instrText>
            </w:r>
            <w:r>
              <w:rPr>
                <w:noProof/>
                <w:webHidden/>
              </w:rPr>
            </w:r>
            <w:r>
              <w:rPr>
                <w:noProof/>
                <w:webHidden/>
              </w:rPr>
              <w:fldChar w:fldCharType="separate"/>
            </w:r>
            <w:r>
              <w:rPr>
                <w:noProof/>
                <w:webHidden/>
              </w:rPr>
              <w:t>19</w:t>
            </w:r>
            <w:r>
              <w:rPr>
                <w:noProof/>
                <w:webHidden/>
              </w:rPr>
              <w:fldChar w:fldCharType="end"/>
            </w:r>
          </w:hyperlink>
        </w:p>
        <w:p w14:paraId="0AD60174" w14:textId="6986E765"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1" w:history="1">
            <w:r w:rsidRPr="00556DA1">
              <w:rPr>
                <w:rStyle w:val="Hipervnculo"/>
                <w:rFonts w:ascii="Arial" w:hAnsi="Arial" w:cs="Arial"/>
                <w:b/>
                <w:bCs/>
                <w:noProof/>
              </w:rPr>
              <w:t>2.4 Paso 2. Declaratoria de Utilidad Pública</w:t>
            </w:r>
            <w:r>
              <w:rPr>
                <w:noProof/>
                <w:webHidden/>
              </w:rPr>
              <w:tab/>
            </w:r>
            <w:r>
              <w:rPr>
                <w:noProof/>
                <w:webHidden/>
              </w:rPr>
              <w:fldChar w:fldCharType="begin"/>
            </w:r>
            <w:r>
              <w:rPr>
                <w:noProof/>
                <w:webHidden/>
              </w:rPr>
              <w:instrText xml:space="preserve"> PAGEREF _Toc232418211 \h </w:instrText>
            </w:r>
            <w:r>
              <w:rPr>
                <w:noProof/>
                <w:webHidden/>
              </w:rPr>
            </w:r>
            <w:r>
              <w:rPr>
                <w:noProof/>
                <w:webHidden/>
              </w:rPr>
              <w:fldChar w:fldCharType="separate"/>
            </w:r>
            <w:r>
              <w:rPr>
                <w:noProof/>
                <w:webHidden/>
              </w:rPr>
              <w:t>20</w:t>
            </w:r>
            <w:r>
              <w:rPr>
                <w:noProof/>
                <w:webHidden/>
              </w:rPr>
              <w:fldChar w:fldCharType="end"/>
            </w:r>
          </w:hyperlink>
        </w:p>
        <w:p w14:paraId="4F02759D" w14:textId="6B6318F6"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2" w:history="1">
            <w:r w:rsidRPr="00556DA1">
              <w:rPr>
                <w:rStyle w:val="Hipervnculo"/>
                <w:rFonts w:ascii="Arial" w:hAnsi="Arial" w:cs="Arial"/>
                <w:b/>
                <w:bCs/>
                <w:noProof/>
              </w:rPr>
              <w:t>2.5 Paso 3. Facultad para la adquisición de predios</w:t>
            </w:r>
            <w:r>
              <w:rPr>
                <w:noProof/>
                <w:webHidden/>
              </w:rPr>
              <w:tab/>
            </w:r>
            <w:r>
              <w:rPr>
                <w:noProof/>
                <w:webHidden/>
              </w:rPr>
              <w:fldChar w:fldCharType="begin"/>
            </w:r>
            <w:r>
              <w:rPr>
                <w:noProof/>
                <w:webHidden/>
              </w:rPr>
              <w:instrText xml:space="preserve"> PAGEREF _Toc232418212 \h </w:instrText>
            </w:r>
            <w:r>
              <w:rPr>
                <w:noProof/>
                <w:webHidden/>
              </w:rPr>
            </w:r>
            <w:r>
              <w:rPr>
                <w:noProof/>
                <w:webHidden/>
              </w:rPr>
              <w:fldChar w:fldCharType="separate"/>
            </w:r>
            <w:r>
              <w:rPr>
                <w:noProof/>
                <w:webHidden/>
              </w:rPr>
              <w:t>21</w:t>
            </w:r>
            <w:r>
              <w:rPr>
                <w:noProof/>
                <w:webHidden/>
              </w:rPr>
              <w:fldChar w:fldCharType="end"/>
            </w:r>
          </w:hyperlink>
        </w:p>
        <w:p w14:paraId="2C66E3E6" w14:textId="3FBFCB65"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3" w:history="1">
            <w:r w:rsidRPr="00556DA1">
              <w:rPr>
                <w:rStyle w:val="Hipervnculo"/>
                <w:rFonts w:ascii="Arial" w:hAnsi="Arial" w:cs="Arial"/>
                <w:b/>
                <w:bCs/>
                <w:noProof/>
              </w:rPr>
              <w:t>2.6 Paso 4. Acto Administrativo de Declaratoria del Espacio Público</w:t>
            </w:r>
            <w:r>
              <w:rPr>
                <w:noProof/>
                <w:webHidden/>
              </w:rPr>
              <w:tab/>
            </w:r>
            <w:r>
              <w:rPr>
                <w:noProof/>
                <w:webHidden/>
              </w:rPr>
              <w:fldChar w:fldCharType="begin"/>
            </w:r>
            <w:r>
              <w:rPr>
                <w:noProof/>
                <w:webHidden/>
              </w:rPr>
              <w:instrText xml:space="preserve"> PAGEREF _Toc232418213 \h </w:instrText>
            </w:r>
            <w:r>
              <w:rPr>
                <w:noProof/>
                <w:webHidden/>
              </w:rPr>
            </w:r>
            <w:r>
              <w:rPr>
                <w:noProof/>
                <w:webHidden/>
              </w:rPr>
              <w:fldChar w:fldCharType="separate"/>
            </w:r>
            <w:r>
              <w:rPr>
                <w:noProof/>
                <w:webHidden/>
              </w:rPr>
              <w:t>21</w:t>
            </w:r>
            <w:r>
              <w:rPr>
                <w:noProof/>
                <w:webHidden/>
              </w:rPr>
              <w:fldChar w:fldCharType="end"/>
            </w:r>
          </w:hyperlink>
        </w:p>
        <w:p w14:paraId="0241BC8F" w14:textId="393CEA27"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4" w:history="1">
            <w:r w:rsidRPr="00556DA1">
              <w:rPr>
                <w:rStyle w:val="Hipervnculo"/>
                <w:rFonts w:ascii="Arial" w:hAnsi="Arial" w:cs="Arial"/>
                <w:b/>
                <w:bCs/>
                <w:noProof/>
              </w:rPr>
              <w:t>2.7 Paso 5. Oferta comercial</w:t>
            </w:r>
            <w:r>
              <w:rPr>
                <w:noProof/>
                <w:webHidden/>
              </w:rPr>
              <w:tab/>
            </w:r>
            <w:r>
              <w:rPr>
                <w:noProof/>
                <w:webHidden/>
              </w:rPr>
              <w:fldChar w:fldCharType="begin"/>
            </w:r>
            <w:r>
              <w:rPr>
                <w:noProof/>
                <w:webHidden/>
              </w:rPr>
              <w:instrText xml:space="preserve"> PAGEREF _Toc232418214 \h </w:instrText>
            </w:r>
            <w:r>
              <w:rPr>
                <w:noProof/>
                <w:webHidden/>
              </w:rPr>
            </w:r>
            <w:r>
              <w:rPr>
                <w:noProof/>
                <w:webHidden/>
              </w:rPr>
              <w:fldChar w:fldCharType="separate"/>
            </w:r>
            <w:r>
              <w:rPr>
                <w:noProof/>
                <w:webHidden/>
              </w:rPr>
              <w:t>22</w:t>
            </w:r>
            <w:r>
              <w:rPr>
                <w:noProof/>
                <w:webHidden/>
              </w:rPr>
              <w:fldChar w:fldCharType="end"/>
            </w:r>
          </w:hyperlink>
        </w:p>
        <w:p w14:paraId="2EEB70CC" w14:textId="37831AC5"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5" w:history="1">
            <w:r w:rsidRPr="00556DA1">
              <w:rPr>
                <w:rStyle w:val="Hipervnculo"/>
                <w:rFonts w:ascii="Arial" w:hAnsi="Arial" w:cs="Arial"/>
                <w:b/>
                <w:bCs/>
                <w:noProof/>
              </w:rPr>
              <w:t>2.8 Paso 6. Expropiación por vía administrativa</w:t>
            </w:r>
            <w:r>
              <w:rPr>
                <w:noProof/>
                <w:webHidden/>
              </w:rPr>
              <w:tab/>
            </w:r>
            <w:r>
              <w:rPr>
                <w:noProof/>
                <w:webHidden/>
              </w:rPr>
              <w:fldChar w:fldCharType="begin"/>
            </w:r>
            <w:r>
              <w:rPr>
                <w:noProof/>
                <w:webHidden/>
              </w:rPr>
              <w:instrText xml:space="preserve"> PAGEREF _Toc232418215 \h </w:instrText>
            </w:r>
            <w:r>
              <w:rPr>
                <w:noProof/>
                <w:webHidden/>
              </w:rPr>
            </w:r>
            <w:r>
              <w:rPr>
                <w:noProof/>
                <w:webHidden/>
              </w:rPr>
              <w:fldChar w:fldCharType="separate"/>
            </w:r>
            <w:r>
              <w:rPr>
                <w:noProof/>
                <w:webHidden/>
              </w:rPr>
              <w:t>23</w:t>
            </w:r>
            <w:r>
              <w:rPr>
                <w:noProof/>
                <w:webHidden/>
              </w:rPr>
              <w:fldChar w:fldCharType="end"/>
            </w:r>
          </w:hyperlink>
        </w:p>
        <w:p w14:paraId="19531A74" w14:textId="07BCAB7A"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6" w:history="1">
            <w:r w:rsidRPr="00556DA1">
              <w:rPr>
                <w:rStyle w:val="Hipervnculo"/>
                <w:rFonts w:ascii="Arial" w:hAnsi="Arial" w:cs="Arial"/>
                <w:b/>
                <w:bCs/>
                <w:noProof/>
              </w:rPr>
              <w:t>2.9 Paso 7.  Remisión a Registro y Catastro</w:t>
            </w:r>
            <w:r>
              <w:rPr>
                <w:noProof/>
                <w:webHidden/>
              </w:rPr>
              <w:tab/>
            </w:r>
            <w:r>
              <w:rPr>
                <w:noProof/>
                <w:webHidden/>
              </w:rPr>
              <w:fldChar w:fldCharType="begin"/>
            </w:r>
            <w:r>
              <w:rPr>
                <w:noProof/>
                <w:webHidden/>
              </w:rPr>
              <w:instrText xml:space="preserve"> PAGEREF _Toc232418216 \h </w:instrText>
            </w:r>
            <w:r>
              <w:rPr>
                <w:noProof/>
                <w:webHidden/>
              </w:rPr>
            </w:r>
            <w:r>
              <w:rPr>
                <w:noProof/>
                <w:webHidden/>
              </w:rPr>
              <w:fldChar w:fldCharType="separate"/>
            </w:r>
            <w:r>
              <w:rPr>
                <w:noProof/>
                <w:webHidden/>
              </w:rPr>
              <w:t>24</w:t>
            </w:r>
            <w:r>
              <w:rPr>
                <w:noProof/>
                <w:webHidden/>
              </w:rPr>
              <w:fldChar w:fldCharType="end"/>
            </w:r>
          </w:hyperlink>
        </w:p>
        <w:p w14:paraId="242AA48A" w14:textId="01B0CE8B"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17" w:history="1">
            <w:r w:rsidRPr="00556DA1">
              <w:rPr>
                <w:rStyle w:val="Hipervnculo"/>
                <w:rFonts w:ascii="Arial" w:hAnsi="Arial" w:cs="Arial"/>
                <w:b/>
                <w:bCs/>
                <w:noProof/>
              </w:rPr>
              <w:t>2.10 Paso 8. Actualización de Inventario Municipal de Inmuebles</w:t>
            </w:r>
            <w:r>
              <w:rPr>
                <w:noProof/>
                <w:webHidden/>
              </w:rPr>
              <w:tab/>
            </w:r>
            <w:r>
              <w:rPr>
                <w:noProof/>
                <w:webHidden/>
              </w:rPr>
              <w:fldChar w:fldCharType="begin"/>
            </w:r>
            <w:r>
              <w:rPr>
                <w:noProof/>
                <w:webHidden/>
              </w:rPr>
              <w:instrText xml:space="preserve"> PAGEREF _Toc232418217 \h </w:instrText>
            </w:r>
            <w:r>
              <w:rPr>
                <w:noProof/>
                <w:webHidden/>
              </w:rPr>
            </w:r>
            <w:r>
              <w:rPr>
                <w:noProof/>
                <w:webHidden/>
              </w:rPr>
              <w:fldChar w:fldCharType="separate"/>
            </w:r>
            <w:r>
              <w:rPr>
                <w:noProof/>
                <w:webHidden/>
              </w:rPr>
              <w:t>24</w:t>
            </w:r>
            <w:r>
              <w:rPr>
                <w:noProof/>
                <w:webHidden/>
              </w:rPr>
              <w:fldChar w:fldCharType="end"/>
            </w:r>
          </w:hyperlink>
        </w:p>
        <w:p w14:paraId="12F71827" w14:textId="7E2F6CAE" w:rsidR="007733E7" w:rsidRDefault="007733E7">
          <w:pPr>
            <w:pStyle w:val="TDC1"/>
            <w:rPr>
              <w:rFonts w:asciiTheme="minorHAnsi" w:eastAsiaTheme="minorEastAsia" w:hAnsiTheme="minorHAnsi" w:cstheme="minorBidi"/>
              <w:noProof/>
              <w:kern w:val="2"/>
              <w:lang w:val="es-ES"/>
              <w14:ligatures w14:val="standardContextual"/>
            </w:rPr>
          </w:pPr>
          <w:hyperlink w:anchor="_Toc232418218" w:history="1">
            <w:r w:rsidRPr="00556DA1">
              <w:rPr>
                <w:rStyle w:val="Hipervnculo"/>
                <w:rFonts w:ascii="Arial" w:hAnsi="Arial" w:cs="Arial"/>
                <w:b/>
                <w:bCs/>
                <w:noProof/>
              </w:rPr>
              <w:t>Capítulo 3.</w:t>
            </w:r>
            <w:r>
              <w:rPr>
                <w:noProof/>
                <w:webHidden/>
              </w:rPr>
              <w:tab/>
            </w:r>
            <w:r>
              <w:rPr>
                <w:noProof/>
                <w:webHidden/>
              </w:rPr>
              <w:fldChar w:fldCharType="begin"/>
            </w:r>
            <w:r>
              <w:rPr>
                <w:noProof/>
                <w:webHidden/>
              </w:rPr>
              <w:instrText xml:space="preserve"> PAGEREF _Toc232418218 \h </w:instrText>
            </w:r>
            <w:r>
              <w:rPr>
                <w:noProof/>
                <w:webHidden/>
              </w:rPr>
            </w:r>
            <w:r>
              <w:rPr>
                <w:noProof/>
                <w:webHidden/>
              </w:rPr>
              <w:fldChar w:fldCharType="separate"/>
            </w:r>
            <w:r>
              <w:rPr>
                <w:noProof/>
                <w:webHidden/>
              </w:rPr>
              <w:t>26</w:t>
            </w:r>
            <w:r>
              <w:rPr>
                <w:noProof/>
                <w:webHidden/>
              </w:rPr>
              <w:fldChar w:fldCharType="end"/>
            </w:r>
          </w:hyperlink>
        </w:p>
        <w:p w14:paraId="2C6657BA" w14:textId="6E662F45" w:rsidR="007733E7" w:rsidRDefault="007733E7">
          <w:pPr>
            <w:pStyle w:val="TDC1"/>
            <w:rPr>
              <w:rFonts w:asciiTheme="minorHAnsi" w:eastAsiaTheme="minorEastAsia" w:hAnsiTheme="minorHAnsi" w:cstheme="minorBidi"/>
              <w:noProof/>
              <w:kern w:val="2"/>
              <w:lang w:val="es-ES"/>
              <w14:ligatures w14:val="standardContextual"/>
            </w:rPr>
          </w:pPr>
          <w:hyperlink w:anchor="_Toc232418219" w:history="1">
            <w:r w:rsidRPr="00556DA1">
              <w:rPr>
                <w:rStyle w:val="Hipervnculo"/>
                <w:rFonts w:ascii="Arial" w:hAnsi="Arial" w:cs="Arial"/>
                <w:b/>
                <w:bCs/>
                <w:noProof/>
              </w:rPr>
              <w:t>Titulación y Registro de Predios de Uso Público a Favor de las Entidades Territoriales</w:t>
            </w:r>
            <w:r>
              <w:rPr>
                <w:noProof/>
                <w:webHidden/>
              </w:rPr>
              <w:tab/>
            </w:r>
            <w:r>
              <w:rPr>
                <w:noProof/>
                <w:webHidden/>
              </w:rPr>
              <w:fldChar w:fldCharType="begin"/>
            </w:r>
            <w:r>
              <w:rPr>
                <w:noProof/>
                <w:webHidden/>
              </w:rPr>
              <w:instrText xml:space="preserve"> PAGEREF _Toc232418219 \h </w:instrText>
            </w:r>
            <w:r>
              <w:rPr>
                <w:noProof/>
                <w:webHidden/>
              </w:rPr>
            </w:r>
            <w:r>
              <w:rPr>
                <w:noProof/>
                <w:webHidden/>
              </w:rPr>
              <w:fldChar w:fldCharType="separate"/>
            </w:r>
            <w:r>
              <w:rPr>
                <w:noProof/>
                <w:webHidden/>
              </w:rPr>
              <w:t>26</w:t>
            </w:r>
            <w:r>
              <w:rPr>
                <w:noProof/>
                <w:webHidden/>
              </w:rPr>
              <w:fldChar w:fldCharType="end"/>
            </w:r>
          </w:hyperlink>
        </w:p>
        <w:p w14:paraId="6D403FF4" w14:textId="187275F0" w:rsidR="007733E7" w:rsidRDefault="007733E7">
          <w:pPr>
            <w:pStyle w:val="TDC2"/>
            <w:tabs>
              <w:tab w:val="right" w:leader="dot" w:pos="8828"/>
            </w:tabs>
            <w:rPr>
              <w:rFonts w:asciiTheme="minorHAnsi" w:eastAsiaTheme="minorEastAsia" w:hAnsiTheme="minorHAnsi" w:cstheme="minorBidi"/>
              <w:noProof/>
              <w:kern w:val="2"/>
              <w:lang w:val="es-ES"/>
              <w14:ligatures w14:val="standardContextual"/>
            </w:rPr>
          </w:pPr>
          <w:hyperlink w:anchor="_Toc232418220" w:history="1">
            <w:r w:rsidRPr="00556DA1">
              <w:rPr>
                <w:rStyle w:val="Hipervnculo"/>
                <w:rFonts w:ascii="Arial" w:hAnsi="Arial" w:cs="Arial"/>
                <w:b/>
                <w:bCs/>
                <w:noProof/>
              </w:rPr>
              <w:t>3.1 Procedimiento ante Registradores de Instrumentos Públicos</w:t>
            </w:r>
            <w:r>
              <w:rPr>
                <w:noProof/>
                <w:webHidden/>
              </w:rPr>
              <w:tab/>
            </w:r>
            <w:r>
              <w:rPr>
                <w:noProof/>
                <w:webHidden/>
              </w:rPr>
              <w:fldChar w:fldCharType="begin"/>
            </w:r>
            <w:r>
              <w:rPr>
                <w:noProof/>
                <w:webHidden/>
              </w:rPr>
              <w:instrText xml:space="preserve"> PAGEREF _Toc232418220 \h </w:instrText>
            </w:r>
            <w:r>
              <w:rPr>
                <w:noProof/>
                <w:webHidden/>
              </w:rPr>
            </w:r>
            <w:r>
              <w:rPr>
                <w:noProof/>
                <w:webHidden/>
              </w:rPr>
              <w:fldChar w:fldCharType="separate"/>
            </w:r>
            <w:r>
              <w:rPr>
                <w:noProof/>
                <w:webHidden/>
              </w:rPr>
              <w:t>26</w:t>
            </w:r>
            <w:r>
              <w:rPr>
                <w:noProof/>
                <w:webHidden/>
              </w:rPr>
              <w:fldChar w:fldCharType="end"/>
            </w:r>
          </w:hyperlink>
        </w:p>
        <w:p w14:paraId="54E2551F" w14:textId="34A7AF67" w:rsidR="007733E7" w:rsidRDefault="007733E7">
          <w:pPr>
            <w:pStyle w:val="TDC1"/>
            <w:rPr>
              <w:rFonts w:asciiTheme="minorHAnsi" w:eastAsiaTheme="minorEastAsia" w:hAnsiTheme="minorHAnsi" w:cstheme="minorBidi"/>
              <w:noProof/>
              <w:kern w:val="2"/>
              <w:lang w:val="es-ES"/>
              <w14:ligatures w14:val="standardContextual"/>
            </w:rPr>
          </w:pPr>
          <w:hyperlink w:anchor="_Toc232418221" w:history="1">
            <w:r w:rsidRPr="00556DA1">
              <w:rPr>
                <w:rStyle w:val="Hipervnculo"/>
                <w:rFonts w:ascii="Arial" w:hAnsi="Arial" w:cs="Arial"/>
                <w:b/>
                <w:bCs/>
                <w:noProof/>
              </w:rPr>
              <w:t>Anexos</w:t>
            </w:r>
            <w:r>
              <w:rPr>
                <w:noProof/>
                <w:webHidden/>
              </w:rPr>
              <w:tab/>
            </w:r>
            <w:r>
              <w:rPr>
                <w:noProof/>
                <w:webHidden/>
              </w:rPr>
              <w:fldChar w:fldCharType="begin"/>
            </w:r>
            <w:r>
              <w:rPr>
                <w:noProof/>
                <w:webHidden/>
              </w:rPr>
              <w:instrText xml:space="preserve"> PAGEREF _Toc232418221 \h </w:instrText>
            </w:r>
            <w:r>
              <w:rPr>
                <w:noProof/>
                <w:webHidden/>
              </w:rPr>
            </w:r>
            <w:r>
              <w:rPr>
                <w:noProof/>
                <w:webHidden/>
              </w:rPr>
              <w:fldChar w:fldCharType="separate"/>
            </w:r>
            <w:r>
              <w:rPr>
                <w:noProof/>
                <w:webHidden/>
              </w:rPr>
              <w:t>29</w:t>
            </w:r>
            <w:r>
              <w:rPr>
                <w:noProof/>
                <w:webHidden/>
              </w:rPr>
              <w:fldChar w:fldCharType="end"/>
            </w:r>
          </w:hyperlink>
        </w:p>
        <w:p w14:paraId="1613385B" w14:textId="09E86C3E" w:rsidR="00A81B4E" w:rsidRDefault="00A81B4E">
          <w:r>
            <w:rPr>
              <w:b/>
              <w:bCs/>
            </w:rPr>
            <w:fldChar w:fldCharType="end"/>
          </w:r>
        </w:p>
      </w:sdtContent>
    </w:sdt>
    <w:p w14:paraId="527BC85B"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1D409820" w14:textId="4A1BBA08" w:rsidR="00CA4587" w:rsidRDefault="007733E7" w:rsidP="00CA4587">
      <w:pPr>
        <w:pStyle w:val="Ttulo1"/>
        <w:spacing w:before="0" w:after="160" w:line="276" w:lineRule="auto"/>
        <w:rPr>
          <w:rFonts w:ascii="Arial" w:eastAsia="Arial" w:hAnsi="Arial" w:cs="Arial"/>
          <w:b/>
          <w:bCs/>
          <w:color w:val="000000"/>
          <w:sz w:val="24"/>
          <w:szCs w:val="24"/>
        </w:rPr>
      </w:pPr>
      <w:bookmarkStart w:id="8" w:name="_Toc232418195"/>
      <w:r>
        <w:rPr>
          <w:rFonts w:ascii="Arial" w:eastAsia="Arial" w:hAnsi="Arial" w:cs="Arial"/>
          <w:b/>
          <w:bCs/>
          <w:color w:val="000000"/>
          <w:sz w:val="24"/>
          <w:szCs w:val="24"/>
        </w:rPr>
        <w:t>Índice de Gráficas</w:t>
      </w:r>
      <w:bookmarkEnd w:id="8"/>
    </w:p>
    <w:p w14:paraId="2008420A" w14:textId="5CC85D75" w:rsidR="007733E7" w:rsidRDefault="000C6570">
      <w:pPr>
        <w:pStyle w:val="Tabladeilustraciones"/>
        <w:tabs>
          <w:tab w:val="right" w:leader="dot" w:pos="8828"/>
        </w:tabs>
        <w:rPr>
          <w:rFonts w:asciiTheme="minorHAnsi" w:eastAsiaTheme="minorEastAsia" w:hAnsiTheme="minorHAnsi" w:cstheme="minorBidi"/>
          <w:noProof/>
          <w:kern w:val="2"/>
          <w:lang w:val="es-ES"/>
          <w14:ligatures w14:val="standardContextual"/>
        </w:rPr>
      </w:pPr>
      <w:r>
        <w:rPr>
          <w:rFonts w:ascii="Arial" w:eastAsia="Arial" w:hAnsi="Arial" w:cs="Arial"/>
          <w:b/>
          <w:bCs/>
          <w:color w:val="000000"/>
        </w:rPr>
        <w:fldChar w:fldCharType="begin"/>
      </w:r>
      <w:r>
        <w:rPr>
          <w:rFonts w:ascii="Arial" w:eastAsia="Arial" w:hAnsi="Arial" w:cs="Arial"/>
          <w:b/>
          <w:bCs/>
          <w:color w:val="000000"/>
        </w:rPr>
        <w:instrText xml:space="preserve"> TOC \h \z \c "Gráfica" </w:instrText>
      </w:r>
      <w:r>
        <w:rPr>
          <w:rFonts w:ascii="Arial" w:eastAsia="Arial" w:hAnsi="Arial" w:cs="Arial"/>
          <w:b/>
          <w:bCs/>
          <w:color w:val="000000"/>
        </w:rPr>
        <w:fldChar w:fldCharType="separate"/>
      </w:r>
      <w:hyperlink w:anchor="_Toc232418222" w:history="1">
        <w:r w:rsidR="007733E7" w:rsidRPr="008F42A0">
          <w:rPr>
            <w:rStyle w:val="Hipervnculo"/>
            <w:rFonts w:ascii="Arial" w:hAnsi="Arial" w:cs="Arial"/>
            <w:b/>
            <w:bCs/>
            <w:noProof/>
          </w:rPr>
          <w:t>Gráfica 1. Kit de Herramientas CiuData+ para la gestión, administración y formalización del inventario municipal de inmuebles</w:t>
        </w:r>
        <w:r w:rsidR="007733E7">
          <w:rPr>
            <w:noProof/>
            <w:webHidden/>
          </w:rPr>
          <w:tab/>
        </w:r>
        <w:r w:rsidR="007733E7">
          <w:rPr>
            <w:noProof/>
            <w:webHidden/>
          </w:rPr>
          <w:fldChar w:fldCharType="begin"/>
        </w:r>
        <w:r w:rsidR="007733E7">
          <w:rPr>
            <w:noProof/>
            <w:webHidden/>
          </w:rPr>
          <w:instrText xml:space="preserve"> PAGEREF _Toc232418222 \h </w:instrText>
        </w:r>
        <w:r w:rsidR="007733E7">
          <w:rPr>
            <w:noProof/>
            <w:webHidden/>
          </w:rPr>
        </w:r>
        <w:r w:rsidR="007733E7">
          <w:rPr>
            <w:noProof/>
            <w:webHidden/>
          </w:rPr>
          <w:fldChar w:fldCharType="separate"/>
        </w:r>
        <w:r w:rsidR="007733E7">
          <w:rPr>
            <w:noProof/>
            <w:webHidden/>
          </w:rPr>
          <w:t>11</w:t>
        </w:r>
        <w:r w:rsidR="007733E7">
          <w:rPr>
            <w:noProof/>
            <w:webHidden/>
          </w:rPr>
          <w:fldChar w:fldCharType="end"/>
        </w:r>
      </w:hyperlink>
    </w:p>
    <w:p w14:paraId="77DA37BF" w14:textId="250D8E13" w:rsidR="007733E7" w:rsidRDefault="007733E7">
      <w:pPr>
        <w:pStyle w:val="Tabladeilustraciones"/>
        <w:tabs>
          <w:tab w:val="right" w:leader="dot" w:pos="8828"/>
        </w:tabs>
        <w:rPr>
          <w:rFonts w:asciiTheme="minorHAnsi" w:eastAsiaTheme="minorEastAsia" w:hAnsiTheme="minorHAnsi" w:cstheme="minorBidi"/>
          <w:noProof/>
          <w:kern w:val="2"/>
          <w:lang w:val="es-ES"/>
          <w14:ligatures w14:val="standardContextual"/>
        </w:rPr>
      </w:pPr>
      <w:hyperlink w:anchor="_Toc232418223" w:history="1">
        <w:r w:rsidRPr="008F42A0">
          <w:rPr>
            <w:rStyle w:val="Hipervnculo"/>
            <w:rFonts w:ascii="Arial" w:hAnsi="Arial" w:cs="Arial"/>
            <w:b/>
            <w:bCs/>
            <w:noProof/>
          </w:rPr>
          <w:t>Gráfica 2. Diferencias entre bienes de uso público, bienes fiscales y bienes privados</w:t>
        </w:r>
        <w:r>
          <w:rPr>
            <w:noProof/>
            <w:webHidden/>
          </w:rPr>
          <w:tab/>
        </w:r>
        <w:r>
          <w:rPr>
            <w:noProof/>
            <w:webHidden/>
          </w:rPr>
          <w:fldChar w:fldCharType="begin"/>
        </w:r>
        <w:r>
          <w:rPr>
            <w:noProof/>
            <w:webHidden/>
          </w:rPr>
          <w:instrText xml:space="preserve"> PAGEREF _Toc232418223 \h </w:instrText>
        </w:r>
        <w:r>
          <w:rPr>
            <w:noProof/>
            <w:webHidden/>
          </w:rPr>
        </w:r>
        <w:r>
          <w:rPr>
            <w:noProof/>
            <w:webHidden/>
          </w:rPr>
          <w:fldChar w:fldCharType="separate"/>
        </w:r>
        <w:r>
          <w:rPr>
            <w:noProof/>
            <w:webHidden/>
          </w:rPr>
          <w:t>16</w:t>
        </w:r>
        <w:r>
          <w:rPr>
            <w:noProof/>
            <w:webHidden/>
          </w:rPr>
          <w:fldChar w:fldCharType="end"/>
        </w:r>
      </w:hyperlink>
    </w:p>
    <w:p w14:paraId="09998A7C" w14:textId="4FAF539A" w:rsidR="007733E7" w:rsidRDefault="007733E7">
      <w:pPr>
        <w:pStyle w:val="Tabladeilustraciones"/>
        <w:tabs>
          <w:tab w:val="right" w:leader="dot" w:pos="8828"/>
        </w:tabs>
        <w:rPr>
          <w:rFonts w:asciiTheme="minorHAnsi" w:eastAsiaTheme="minorEastAsia" w:hAnsiTheme="minorHAnsi" w:cstheme="minorBidi"/>
          <w:noProof/>
          <w:kern w:val="2"/>
          <w:lang w:val="es-ES"/>
          <w14:ligatures w14:val="standardContextual"/>
        </w:rPr>
      </w:pPr>
      <w:hyperlink w:anchor="_Toc232418224" w:history="1">
        <w:r w:rsidRPr="008F42A0">
          <w:rPr>
            <w:rStyle w:val="Hipervnculo"/>
            <w:rFonts w:ascii="Arial" w:hAnsi="Arial" w:cs="Arial"/>
            <w:b/>
            <w:bCs/>
            <w:noProof/>
          </w:rPr>
          <w:t>Gráfica 3. Pasos procedimiento de declaratoria de espacio público</w:t>
        </w:r>
        <w:r>
          <w:rPr>
            <w:noProof/>
            <w:webHidden/>
          </w:rPr>
          <w:tab/>
        </w:r>
        <w:r>
          <w:rPr>
            <w:noProof/>
            <w:webHidden/>
          </w:rPr>
          <w:fldChar w:fldCharType="begin"/>
        </w:r>
        <w:r>
          <w:rPr>
            <w:noProof/>
            <w:webHidden/>
          </w:rPr>
          <w:instrText xml:space="preserve"> PAGEREF _Toc232418224 \h </w:instrText>
        </w:r>
        <w:r>
          <w:rPr>
            <w:noProof/>
            <w:webHidden/>
          </w:rPr>
        </w:r>
        <w:r>
          <w:rPr>
            <w:noProof/>
            <w:webHidden/>
          </w:rPr>
          <w:fldChar w:fldCharType="separate"/>
        </w:r>
        <w:r>
          <w:rPr>
            <w:noProof/>
            <w:webHidden/>
          </w:rPr>
          <w:t>20</w:t>
        </w:r>
        <w:r>
          <w:rPr>
            <w:noProof/>
            <w:webHidden/>
          </w:rPr>
          <w:fldChar w:fldCharType="end"/>
        </w:r>
      </w:hyperlink>
    </w:p>
    <w:p w14:paraId="62626055" w14:textId="38D6E5E4" w:rsidR="007733E7" w:rsidRDefault="007733E7">
      <w:pPr>
        <w:pStyle w:val="Tabladeilustraciones"/>
        <w:tabs>
          <w:tab w:val="right" w:leader="dot" w:pos="8828"/>
        </w:tabs>
        <w:rPr>
          <w:rFonts w:asciiTheme="minorHAnsi" w:eastAsiaTheme="minorEastAsia" w:hAnsiTheme="minorHAnsi" w:cstheme="minorBidi"/>
          <w:noProof/>
          <w:kern w:val="2"/>
          <w:lang w:val="es-ES"/>
          <w14:ligatures w14:val="standardContextual"/>
        </w:rPr>
      </w:pPr>
      <w:hyperlink w:anchor="_Toc232418225" w:history="1">
        <w:r w:rsidRPr="008F42A0">
          <w:rPr>
            <w:rStyle w:val="Hipervnculo"/>
            <w:rFonts w:ascii="Arial" w:hAnsi="Arial" w:cs="Arial"/>
            <w:b/>
            <w:bCs/>
            <w:noProof/>
          </w:rPr>
          <w:t>Gráfica 4. Flujograma declaratoria espacio público</w:t>
        </w:r>
        <w:r>
          <w:rPr>
            <w:noProof/>
            <w:webHidden/>
          </w:rPr>
          <w:tab/>
        </w:r>
        <w:r>
          <w:rPr>
            <w:noProof/>
            <w:webHidden/>
          </w:rPr>
          <w:fldChar w:fldCharType="begin"/>
        </w:r>
        <w:r>
          <w:rPr>
            <w:noProof/>
            <w:webHidden/>
          </w:rPr>
          <w:instrText xml:space="preserve"> PAGEREF _Toc232418225 \h </w:instrText>
        </w:r>
        <w:r>
          <w:rPr>
            <w:noProof/>
            <w:webHidden/>
          </w:rPr>
        </w:r>
        <w:r>
          <w:rPr>
            <w:noProof/>
            <w:webHidden/>
          </w:rPr>
          <w:fldChar w:fldCharType="separate"/>
        </w:r>
        <w:r>
          <w:rPr>
            <w:noProof/>
            <w:webHidden/>
          </w:rPr>
          <w:t>26</w:t>
        </w:r>
        <w:r>
          <w:rPr>
            <w:noProof/>
            <w:webHidden/>
          </w:rPr>
          <w:fldChar w:fldCharType="end"/>
        </w:r>
      </w:hyperlink>
    </w:p>
    <w:p w14:paraId="731679F0" w14:textId="1A330090" w:rsidR="007733E7" w:rsidRDefault="007733E7">
      <w:pPr>
        <w:pStyle w:val="Tabladeilustraciones"/>
        <w:tabs>
          <w:tab w:val="right" w:leader="dot" w:pos="8828"/>
        </w:tabs>
        <w:rPr>
          <w:rFonts w:asciiTheme="minorHAnsi" w:eastAsiaTheme="minorEastAsia" w:hAnsiTheme="minorHAnsi" w:cstheme="minorBidi"/>
          <w:noProof/>
          <w:kern w:val="2"/>
          <w:lang w:val="es-ES"/>
          <w14:ligatures w14:val="standardContextual"/>
        </w:rPr>
      </w:pPr>
      <w:hyperlink w:anchor="_Toc232418226" w:history="1">
        <w:r w:rsidRPr="008F42A0">
          <w:rPr>
            <w:rStyle w:val="Hipervnculo"/>
            <w:rFonts w:ascii="Arial" w:hAnsi="Arial" w:cs="Arial"/>
            <w:b/>
            <w:bCs/>
            <w:noProof/>
          </w:rPr>
          <w:t>Gráfica 5. Tipos de titulaciones de predios de uso público a favor de Entidades Territoriales</w:t>
        </w:r>
        <w:r>
          <w:rPr>
            <w:noProof/>
            <w:webHidden/>
          </w:rPr>
          <w:tab/>
        </w:r>
        <w:r>
          <w:rPr>
            <w:noProof/>
            <w:webHidden/>
          </w:rPr>
          <w:fldChar w:fldCharType="begin"/>
        </w:r>
        <w:r>
          <w:rPr>
            <w:noProof/>
            <w:webHidden/>
          </w:rPr>
          <w:instrText xml:space="preserve"> PAGEREF _Toc232418226 \h </w:instrText>
        </w:r>
        <w:r>
          <w:rPr>
            <w:noProof/>
            <w:webHidden/>
          </w:rPr>
        </w:r>
        <w:r>
          <w:rPr>
            <w:noProof/>
            <w:webHidden/>
          </w:rPr>
          <w:fldChar w:fldCharType="separate"/>
        </w:r>
        <w:r>
          <w:rPr>
            <w:noProof/>
            <w:webHidden/>
          </w:rPr>
          <w:t>29</w:t>
        </w:r>
        <w:r>
          <w:rPr>
            <w:noProof/>
            <w:webHidden/>
          </w:rPr>
          <w:fldChar w:fldCharType="end"/>
        </w:r>
      </w:hyperlink>
    </w:p>
    <w:p w14:paraId="0C0C3C88" w14:textId="7C964D15" w:rsidR="00CA4587" w:rsidRDefault="000C6570" w:rsidP="00CA4587">
      <w:pPr>
        <w:pStyle w:val="Ttulo1"/>
        <w:spacing w:before="0" w:after="160" w:line="276" w:lineRule="auto"/>
        <w:rPr>
          <w:rFonts w:ascii="Arial" w:eastAsia="Arial" w:hAnsi="Arial" w:cs="Arial"/>
          <w:b/>
          <w:bCs/>
          <w:color w:val="000000"/>
          <w:sz w:val="24"/>
          <w:szCs w:val="24"/>
        </w:rPr>
      </w:pPr>
      <w:r>
        <w:rPr>
          <w:rFonts w:ascii="Arial" w:eastAsia="Arial" w:hAnsi="Arial" w:cs="Arial"/>
          <w:b/>
          <w:bCs/>
          <w:color w:val="000000"/>
          <w:sz w:val="24"/>
          <w:szCs w:val="24"/>
        </w:rPr>
        <w:fldChar w:fldCharType="end"/>
      </w:r>
    </w:p>
    <w:p w14:paraId="22A47DAB"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14460C68"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3BCCB522"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3AFCEF2E"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3D0E2596"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302F726F"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3DB8C0A8"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38E4E85B" w14:textId="77777777" w:rsidR="00CA4587" w:rsidRDefault="00CA4587" w:rsidP="00CA4587">
      <w:pPr>
        <w:pStyle w:val="Ttulo1"/>
        <w:spacing w:before="0" w:after="160" w:line="276" w:lineRule="auto"/>
        <w:rPr>
          <w:rFonts w:ascii="Arial" w:eastAsia="Arial" w:hAnsi="Arial" w:cs="Arial"/>
          <w:b/>
          <w:bCs/>
          <w:color w:val="000000"/>
          <w:sz w:val="24"/>
          <w:szCs w:val="24"/>
        </w:rPr>
      </w:pPr>
    </w:p>
    <w:p w14:paraId="45C44BD0" w14:textId="77777777" w:rsidR="00A81B4E" w:rsidRDefault="00A81B4E" w:rsidP="00A81B4E"/>
    <w:p w14:paraId="28DD6609" w14:textId="77777777" w:rsidR="00A81B4E" w:rsidRPr="00A81B4E" w:rsidRDefault="00A81B4E" w:rsidP="00A81B4E"/>
    <w:p w14:paraId="3E88A8BE" w14:textId="40B2C6FF" w:rsidR="008C03AC" w:rsidRPr="00A81B4E" w:rsidRDefault="000375DC" w:rsidP="00A81B4E">
      <w:pPr>
        <w:pStyle w:val="Ttulo1"/>
        <w:rPr>
          <w:rFonts w:ascii="Arial" w:hAnsi="Arial" w:cs="Arial"/>
          <w:b/>
          <w:bCs/>
          <w:color w:val="000000" w:themeColor="text1"/>
          <w:sz w:val="24"/>
          <w:szCs w:val="24"/>
        </w:rPr>
      </w:pPr>
      <w:bookmarkStart w:id="9" w:name="_Toc232418196"/>
      <w:r w:rsidRPr="00A81B4E">
        <w:rPr>
          <w:rFonts w:ascii="Arial" w:hAnsi="Arial" w:cs="Arial"/>
          <w:b/>
          <w:bCs/>
          <w:color w:val="000000" w:themeColor="text1"/>
          <w:sz w:val="24"/>
          <w:szCs w:val="24"/>
        </w:rPr>
        <w:lastRenderedPageBreak/>
        <w:t>Generalidades</w:t>
      </w:r>
      <w:bookmarkEnd w:id="9"/>
      <w:r w:rsidRPr="00A81B4E">
        <w:rPr>
          <w:rFonts w:ascii="Arial" w:hAnsi="Arial" w:cs="Arial"/>
          <w:b/>
          <w:bCs/>
          <w:color w:val="000000" w:themeColor="text1"/>
          <w:sz w:val="24"/>
          <w:szCs w:val="24"/>
        </w:rPr>
        <w:t xml:space="preserve"> </w:t>
      </w:r>
    </w:p>
    <w:p w14:paraId="02B6C38D" w14:textId="77777777" w:rsidR="007733E7" w:rsidRDefault="007733E7" w:rsidP="00A81B4E">
      <w:pPr>
        <w:jc w:val="both"/>
        <w:rPr>
          <w:rFonts w:ascii="Arial" w:hAnsi="Arial" w:cs="Arial"/>
        </w:rPr>
      </w:pPr>
      <w:bookmarkStart w:id="10" w:name="_heading=h.ubw910c2uq8i" w:colFirst="0" w:colLast="0"/>
      <w:bookmarkEnd w:id="10"/>
    </w:p>
    <w:p w14:paraId="1BBE4D3A" w14:textId="5C88AF37" w:rsidR="008C03AC" w:rsidRPr="00A81B4E" w:rsidRDefault="000375DC" w:rsidP="00A81B4E">
      <w:pPr>
        <w:jc w:val="both"/>
        <w:rPr>
          <w:rFonts w:ascii="Arial" w:hAnsi="Arial" w:cs="Arial"/>
        </w:rPr>
      </w:pPr>
      <w:r w:rsidRPr="00A81B4E">
        <w:rPr>
          <w:rFonts w:ascii="Arial" w:hAnsi="Arial" w:cs="Arial"/>
        </w:rPr>
        <w:t>La Caja de Herramientas CiuData+ reúne un conjunto de soluciones técnicas diseñadas para fortalecer la gestión territorial en los municipios. Dentro de esta caja se organizan diferentes kits especializados, cada uno orientado a resolver necesidades específicas de información, administración y toma de decisiones.</w:t>
      </w:r>
    </w:p>
    <w:p w14:paraId="6EA5797E" w14:textId="77777777" w:rsidR="008C03AC" w:rsidRPr="00A81B4E" w:rsidRDefault="000375DC" w:rsidP="00A81B4E">
      <w:pPr>
        <w:jc w:val="both"/>
        <w:rPr>
          <w:rFonts w:ascii="Arial" w:hAnsi="Arial" w:cs="Arial"/>
        </w:rPr>
      </w:pPr>
      <w:bookmarkStart w:id="11" w:name="_heading=h.t2rm47ufqs22" w:colFirst="0" w:colLast="0"/>
      <w:bookmarkEnd w:id="11"/>
      <w:r w:rsidRPr="00A81B4E">
        <w:rPr>
          <w:rFonts w:ascii="Arial" w:hAnsi="Arial" w:cs="Arial"/>
        </w:rPr>
        <w:t>Entre estos conjuntos se encuentra el KIT de herramientas para la gestión, administración y formalización del inventario municipal de inmuebles, un paquete metodológico que integra instrumentos, procedimientos y rutas orientadas a consolidar información patrimonial confiable, mejorar la administración del suelo fiscal y facilitar procesos de saneamiento, disposición y formalización.</w:t>
      </w:r>
    </w:p>
    <w:p w14:paraId="5D32C54B" w14:textId="77777777" w:rsidR="008C03AC" w:rsidRPr="00A81B4E" w:rsidRDefault="000375DC" w:rsidP="00A81B4E">
      <w:pPr>
        <w:jc w:val="both"/>
        <w:rPr>
          <w:rFonts w:ascii="Arial" w:hAnsi="Arial" w:cs="Arial"/>
        </w:rPr>
      </w:pPr>
      <w:r w:rsidRPr="00A81B4E">
        <w:rPr>
          <w:rFonts w:ascii="Arial" w:hAnsi="Arial" w:cs="Arial"/>
        </w:rPr>
        <w:t>Su estructura responde a los principios del catastro multipropósito y promueve la interoperabilidad entre catastro, registro y ordenamiento territorial.</w:t>
      </w:r>
    </w:p>
    <w:p w14:paraId="7FC7A516" w14:textId="77777777" w:rsidR="008C03AC" w:rsidRPr="00A81B4E" w:rsidRDefault="000375DC" w:rsidP="00A81B4E">
      <w:pPr>
        <w:jc w:val="both"/>
        <w:rPr>
          <w:rFonts w:ascii="Arial" w:hAnsi="Arial" w:cs="Arial"/>
        </w:rPr>
      </w:pPr>
      <w:bookmarkStart w:id="12" w:name="_heading=h.bb9l5636x6j3" w:colFirst="0" w:colLast="0"/>
      <w:bookmarkEnd w:id="12"/>
      <w:r w:rsidRPr="00A81B4E">
        <w:rPr>
          <w:rFonts w:ascii="Arial" w:hAnsi="Arial" w:cs="Arial"/>
        </w:rPr>
        <w:t>Este KIT incorpora el Mapa Completo de Rutas de Saneamiento, una herramienta visual que orienta la selección del procedimiento adecuado según la situación jurídica, catastral y administrativa de cada inmueble. El mapa muestra cómo cada ruta conduce directamente a una de las cartillas que conforman el KIT, permitiendo a los municipios identificar el instrumento técnico correspondiente a su caso y avanzar de manera ordenada, tal como se presenta en la gráfica siguiente.</w:t>
      </w:r>
    </w:p>
    <w:p w14:paraId="29152AD7" w14:textId="77777777" w:rsidR="008C03AC" w:rsidRDefault="008C03AC" w:rsidP="00A81B4E"/>
    <w:p w14:paraId="2C1938AC" w14:textId="77777777" w:rsidR="008C03AC" w:rsidRDefault="008C03AC" w:rsidP="00A81B4E"/>
    <w:p w14:paraId="5E9FEBA9" w14:textId="77777777" w:rsidR="008C03AC" w:rsidRDefault="008C03AC" w:rsidP="00A81B4E"/>
    <w:p w14:paraId="38208FAE" w14:textId="77777777" w:rsidR="008C03AC" w:rsidRDefault="008C03AC" w:rsidP="00A81B4E"/>
    <w:p w14:paraId="5434E585" w14:textId="77777777" w:rsidR="008C03AC" w:rsidRDefault="008C03AC" w:rsidP="00A81B4E"/>
    <w:p w14:paraId="0C55FAF5" w14:textId="77777777" w:rsidR="008C03AC" w:rsidRDefault="008C03AC" w:rsidP="00A81B4E"/>
    <w:p w14:paraId="59894219" w14:textId="77777777" w:rsidR="008C03AC" w:rsidRDefault="008C03AC" w:rsidP="00A81B4E"/>
    <w:p w14:paraId="01B9A2A9" w14:textId="77777777" w:rsidR="008C03AC" w:rsidRDefault="008C03AC" w:rsidP="00A81B4E"/>
    <w:p w14:paraId="36B35BCB" w14:textId="77777777" w:rsidR="008C03AC" w:rsidRDefault="000375DC">
      <w:pPr>
        <w:pStyle w:val="Ttulo1"/>
        <w:spacing w:before="480" w:after="120" w:line="276" w:lineRule="auto"/>
        <w:jc w:val="both"/>
        <w:rPr>
          <w:rFonts w:ascii="Arial" w:eastAsia="Arial" w:hAnsi="Arial" w:cs="Arial"/>
          <w:b/>
          <w:bCs/>
          <w:color w:val="000000"/>
          <w:sz w:val="24"/>
          <w:szCs w:val="24"/>
        </w:rPr>
      </w:pPr>
      <w:bookmarkStart w:id="13" w:name="_heading=h.or3mkbniu1wr" w:colFirst="0" w:colLast="0"/>
      <w:bookmarkStart w:id="14" w:name="_Toc232418197"/>
      <w:bookmarkEnd w:id="13"/>
      <w:r>
        <w:rPr>
          <w:rFonts w:ascii="Arial" w:eastAsia="Arial" w:hAnsi="Arial" w:cs="Arial"/>
          <w:b/>
          <w:bCs/>
          <w:color w:val="000000"/>
          <w:sz w:val="24"/>
          <w:szCs w:val="24"/>
        </w:rPr>
        <w:lastRenderedPageBreak/>
        <w:t>Resumen</w:t>
      </w:r>
      <w:bookmarkEnd w:id="14"/>
    </w:p>
    <w:p w14:paraId="19D55929" w14:textId="77777777" w:rsidR="008C03AC" w:rsidRPr="00A81B4E" w:rsidRDefault="000375DC">
      <w:pPr>
        <w:spacing w:before="240" w:after="240" w:line="276" w:lineRule="auto"/>
        <w:jc w:val="both"/>
        <w:rPr>
          <w:rFonts w:ascii="Arial" w:hAnsi="Arial" w:cs="Arial"/>
        </w:rPr>
      </w:pPr>
      <w:r w:rsidRPr="00A81B4E">
        <w:rPr>
          <w:rFonts w:ascii="Arial" w:hAnsi="Arial" w:cs="Arial"/>
        </w:rPr>
        <w:t>La cartilla presenta una guía técnica y procedimental para la identificación, formalización y administración de los bienes de uso público en los municipios, con el fin de unificar criterios, reducir riesgos jurídicos y fortalecer la gestión del espacio público. Parte de la definición de bienes de uso público —caracterizados por su inalienabilidad, imprescriptibilidad, inembargabilidad y uso común— y diferencia estos de los bienes fiscales y privados, resaltando su naturaleza de dominio estatal y su destinación al beneficio colectivo. Su alcance es orientador, por lo que no sustituye el análisis jurídico específico de cada caso.</w:t>
      </w:r>
    </w:p>
    <w:p w14:paraId="28CA2847" w14:textId="77777777" w:rsidR="008C03AC" w:rsidRPr="00A81B4E" w:rsidRDefault="000375DC">
      <w:pPr>
        <w:spacing w:before="240" w:after="240" w:line="276" w:lineRule="auto"/>
        <w:jc w:val="both"/>
        <w:rPr>
          <w:rFonts w:ascii="Arial" w:hAnsi="Arial" w:cs="Arial"/>
        </w:rPr>
      </w:pPr>
      <w:r w:rsidRPr="00A81B4E">
        <w:rPr>
          <w:rFonts w:ascii="Arial" w:hAnsi="Arial" w:cs="Arial"/>
        </w:rPr>
        <w:t>El documento desarrolla el procedimiento para la declaratoria de espacio público bajo la Ley 2044 de 2020, iniciando con la verificación e inventario de bienes, seguido de un estudio técnico-jurídico del predio, la declaratoria de utilidad pública (cuando aplica), la verificación de facultades municipales, y la expedición del acto administrativo de declaratoria. En predios privados, el proceso incluye avalúo, oferta de compra y eventual expropiación por vía administrativa si no hay acuerdo, mientras que en bienes públicos o fiscales estos pasos pueden omitirse por existir ya titularidad estatal.</w:t>
      </w:r>
    </w:p>
    <w:p w14:paraId="6E77EFFA" w14:textId="77777777" w:rsidR="008C03AC" w:rsidRPr="00A81B4E" w:rsidRDefault="000375DC">
      <w:pPr>
        <w:spacing w:before="240" w:after="240" w:line="276" w:lineRule="auto"/>
        <w:jc w:val="both"/>
        <w:rPr>
          <w:rFonts w:ascii="Arial" w:hAnsi="Arial" w:cs="Arial"/>
        </w:rPr>
      </w:pPr>
      <w:r w:rsidRPr="00A81B4E">
        <w:rPr>
          <w:rFonts w:ascii="Arial" w:hAnsi="Arial" w:cs="Arial"/>
        </w:rPr>
        <w:t>Finalmente, se establece la ruta de formalización completa que culmina con la inscripción en la Oficina de Registro de Instrumentos Públicos, la actualización catastral y la incorporación al inventario municipal. El enfoque general busca garantizar seguridad jurídica, coherencia entre información registral y catastral, y la protección efectiva del espacio público como elemento esencial del ordenamiento territorial y el interés general.</w:t>
      </w:r>
    </w:p>
    <w:p w14:paraId="0A3E2EE7" w14:textId="77777777" w:rsidR="008C03AC" w:rsidRPr="00A81B4E" w:rsidRDefault="008C03AC">
      <w:pPr>
        <w:rPr>
          <w:rFonts w:ascii="Arial" w:hAnsi="Arial" w:cs="Arial"/>
        </w:rPr>
      </w:pPr>
    </w:p>
    <w:p w14:paraId="0E9A08BF" w14:textId="77777777" w:rsidR="008C03AC" w:rsidRPr="00A81B4E" w:rsidRDefault="008C03AC">
      <w:pPr>
        <w:rPr>
          <w:rFonts w:ascii="Arial" w:hAnsi="Arial" w:cs="Arial"/>
        </w:rPr>
      </w:pPr>
    </w:p>
    <w:p w14:paraId="137D1FCD" w14:textId="77777777" w:rsidR="008C03AC" w:rsidRPr="00A81B4E" w:rsidRDefault="008C03AC">
      <w:pPr>
        <w:rPr>
          <w:rFonts w:ascii="Arial" w:hAnsi="Arial" w:cs="Arial"/>
        </w:rPr>
      </w:pPr>
      <w:bookmarkStart w:id="15" w:name="_heading=h.qge2vcxgqznk" w:colFirst="0" w:colLast="0"/>
      <w:bookmarkStart w:id="16" w:name="_heading=h.rv5j15no767o" w:colFirst="0" w:colLast="0"/>
      <w:bookmarkStart w:id="17" w:name="_heading=h.izs4eorsm26n" w:colFirst="0" w:colLast="0"/>
      <w:bookmarkEnd w:id="15"/>
      <w:bookmarkEnd w:id="16"/>
      <w:bookmarkEnd w:id="17"/>
    </w:p>
    <w:p w14:paraId="1A0E23BE" w14:textId="681B0687" w:rsidR="00CA4587" w:rsidRPr="00A81B4E" w:rsidRDefault="00CA4587">
      <w:pPr>
        <w:rPr>
          <w:rFonts w:ascii="Arial" w:hAnsi="Arial" w:cs="Arial"/>
        </w:rPr>
      </w:pPr>
    </w:p>
    <w:p w14:paraId="4C569E61" w14:textId="77777777" w:rsidR="00CA4587" w:rsidRPr="00A81B4E" w:rsidRDefault="00CA4587">
      <w:pPr>
        <w:rPr>
          <w:rFonts w:ascii="Arial" w:hAnsi="Arial" w:cs="Arial"/>
        </w:rPr>
      </w:pPr>
    </w:p>
    <w:p w14:paraId="4239ADD3" w14:textId="77777777" w:rsidR="008C03AC" w:rsidRPr="00A81B4E" w:rsidRDefault="008C03AC" w:rsidP="00A81B4E">
      <w:pPr>
        <w:jc w:val="center"/>
        <w:rPr>
          <w:rFonts w:ascii="Arial" w:hAnsi="Arial" w:cs="Arial"/>
        </w:rPr>
      </w:pPr>
    </w:p>
    <w:p w14:paraId="49870CF1" w14:textId="77777777" w:rsidR="000C6570" w:rsidRDefault="000C6570" w:rsidP="000C6570">
      <w:pPr>
        <w:pStyle w:val="Descripcin"/>
        <w:jc w:val="center"/>
      </w:pPr>
      <w:bookmarkStart w:id="18" w:name="_heading=h.sv2rqshm8v9s" w:colFirst="0" w:colLast="0"/>
      <w:bookmarkEnd w:id="18"/>
    </w:p>
    <w:p w14:paraId="221824A7" w14:textId="77777777" w:rsidR="000C6570" w:rsidRDefault="000C6570" w:rsidP="000C6570">
      <w:pPr>
        <w:pStyle w:val="Descripcin"/>
        <w:jc w:val="center"/>
      </w:pPr>
    </w:p>
    <w:p w14:paraId="39CE53E4" w14:textId="1465228E" w:rsidR="008C03AC" w:rsidRPr="000C6570" w:rsidRDefault="000C6570" w:rsidP="000C6570">
      <w:pPr>
        <w:pStyle w:val="Descripcin"/>
        <w:jc w:val="center"/>
        <w:rPr>
          <w:rFonts w:ascii="Arial" w:eastAsia="Arial" w:hAnsi="Arial" w:cs="Arial"/>
          <w:b/>
          <w:bCs/>
          <w:i w:val="0"/>
          <w:iCs w:val="0"/>
          <w:color w:val="000000" w:themeColor="text1"/>
          <w:sz w:val="22"/>
          <w:szCs w:val="22"/>
        </w:rPr>
      </w:pPr>
      <w:bookmarkStart w:id="19" w:name="_Toc232418222"/>
      <w:r w:rsidRPr="000C6570">
        <w:rPr>
          <w:rFonts w:ascii="Arial" w:hAnsi="Arial" w:cs="Arial"/>
          <w:b/>
          <w:bCs/>
          <w:i w:val="0"/>
          <w:iCs w:val="0"/>
          <w:color w:val="000000" w:themeColor="text1"/>
          <w:sz w:val="22"/>
          <w:szCs w:val="22"/>
        </w:rPr>
        <w:t xml:space="preserve">Gráfica </w:t>
      </w:r>
      <w:r w:rsidRPr="000C6570">
        <w:rPr>
          <w:rFonts w:ascii="Arial" w:hAnsi="Arial" w:cs="Arial"/>
          <w:b/>
          <w:bCs/>
          <w:i w:val="0"/>
          <w:iCs w:val="0"/>
          <w:color w:val="000000" w:themeColor="text1"/>
          <w:sz w:val="22"/>
          <w:szCs w:val="22"/>
        </w:rPr>
        <w:fldChar w:fldCharType="begin"/>
      </w:r>
      <w:r w:rsidRPr="000C6570">
        <w:rPr>
          <w:rFonts w:ascii="Arial" w:hAnsi="Arial" w:cs="Arial"/>
          <w:b/>
          <w:bCs/>
          <w:i w:val="0"/>
          <w:iCs w:val="0"/>
          <w:color w:val="000000" w:themeColor="text1"/>
          <w:sz w:val="22"/>
          <w:szCs w:val="22"/>
        </w:rPr>
        <w:instrText xml:space="preserve"> SEQ Gráfica \* ARABIC </w:instrText>
      </w:r>
      <w:r w:rsidRPr="000C6570">
        <w:rPr>
          <w:rFonts w:ascii="Arial" w:hAnsi="Arial" w:cs="Arial"/>
          <w:b/>
          <w:bCs/>
          <w:i w:val="0"/>
          <w:iCs w:val="0"/>
          <w:color w:val="000000" w:themeColor="text1"/>
          <w:sz w:val="22"/>
          <w:szCs w:val="22"/>
        </w:rPr>
        <w:fldChar w:fldCharType="separate"/>
      </w:r>
      <w:r w:rsidR="007733E7">
        <w:rPr>
          <w:rFonts w:ascii="Arial" w:hAnsi="Arial" w:cs="Arial"/>
          <w:b/>
          <w:bCs/>
          <w:i w:val="0"/>
          <w:iCs w:val="0"/>
          <w:noProof/>
          <w:color w:val="000000" w:themeColor="text1"/>
          <w:sz w:val="22"/>
          <w:szCs w:val="22"/>
        </w:rPr>
        <w:t>1</w:t>
      </w:r>
      <w:r w:rsidRPr="000C6570">
        <w:rPr>
          <w:rFonts w:ascii="Arial" w:hAnsi="Arial" w:cs="Arial"/>
          <w:b/>
          <w:bCs/>
          <w:i w:val="0"/>
          <w:iCs w:val="0"/>
          <w:color w:val="000000" w:themeColor="text1"/>
          <w:sz w:val="22"/>
          <w:szCs w:val="22"/>
        </w:rPr>
        <w:fldChar w:fldCharType="end"/>
      </w:r>
      <w:r w:rsidRPr="000C6570">
        <w:rPr>
          <w:rFonts w:ascii="Arial" w:hAnsi="Arial" w:cs="Arial"/>
          <w:b/>
          <w:bCs/>
          <w:i w:val="0"/>
          <w:iCs w:val="0"/>
          <w:color w:val="000000" w:themeColor="text1"/>
          <w:sz w:val="22"/>
          <w:szCs w:val="22"/>
        </w:rPr>
        <w:t>. Kit de Herramientas CiuData+ para la gestión, administración y formalización del inventario municipal de inmuebles</w:t>
      </w:r>
      <w:bookmarkEnd w:id="19"/>
    </w:p>
    <w:p w14:paraId="16CBCB4F" w14:textId="77777777" w:rsidR="008C03AC" w:rsidRDefault="000375DC" w:rsidP="00A81B4E">
      <w:bookmarkStart w:id="20" w:name="_heading=h.4ijjzfouzpcz" w:colFirst="0" w:colLast="0"/>
      <w:bookmarkEnd w:id="20"/>
      <w:r>
        <w:rPr>
          <w:noProof/>
        </w:rPr>
        <w:drawing>
          <wp:inline distT="114300" distB="114300" distL="114300" distR="114300" wp14:anchorId="5E227E14" wp14:editId="6C4BAF23">
            <wp:extent cx="5612130" cy="3136900"/>
            <wp:effectExtent l="0" t="0" r="0" b="0"/>
            <wp:docPr id="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2"/>
                    <a:srcRect/>
                    <a:stretch>
                      <a:fillRect/>
                    </a:stretch>
                  </pic:blipFill>
                  <pic:spPr>
                    <a:xfrm>
                      <a:off x="0" y="0"/>
                      <a:ext cx="5612130" cy="3136900"/>
                    </a:xfrm>
                    <a:prstGeom prst="rect">
                      <a:avLst/>
                    </a:prstGeom>
                    <a:ln/>
                  </pic:spPr>
                </pic:pic>
              </a:graphicData>
            </a:graphic>
          </wp:inline>
        </w:drawing>
      </w:r>
    </w:p>
    <w:p w14:paraId="2343498D" w14:textId="77777777" w:rsidR="008C03AC" w:rsidRPr="00CA4587" w:rsidRDefault="000375DC">
      <w:pPr>
        <w:spacing w:before="240" w:after="240" w:line="206" w:lineRule="auto"/>
        <w:jc w:val="center"/>
        <w:rPr>
          <w:rFonts w:ascii="Arial" w:eastAsia="Arial" w:hAnsi="Arial" w:cs="Arial"/>
          <w:sz w:val="18"/>
          <w:szCs w:val="18"/>
        </w:rPr>
      </w:pPr>
      <w:r w:rsidRPr="00CA4587">
        <w:rPr>
          <w:rFonts w:ascii="Arial" w:eastAsia="Arial" w:hAnsi="Arial" w:cs="Arial"/>
          <w:sz w:val="18"/>
          <w:szCs w:val="18"/>
        </w:rPr>
        <w:t>Fuente: elaboración propia</w:t>
      </w:r>
    </w:p>
    <w:p w14:paraId="6769745F" w14:textId="77777777" w:rsidR="008C03AC" w:rsidRDefault="008C03AC">
      <w:pPr>
        <w:spacing w:before="240" w:after="240" w:line="206" w:lineRule="auto"/>
        <w:jc w:val="both"/>
        <w:rPr>
          <w:rFonts w:ascii="Arial" w:eastAsia="Arial" w:hAnsi="Arial" w:cs="Arial"/>
        </w:rPr>
      </w:pPr>
    </w:p>
    <w:p w14:paraId="53A24BA9" w14:textId="77777777" w:rsidR="008C03AC" w:rsidRPr="00A81B4E" w:rsidRDefault="000375DC" w:rsidP="00A81B4E">
      <w:pPr>
        <w:jc w:val="both"/>
        <w:rPr>
          <w:rFonts w:ascii="Arial" w:hAnsi="Arial" w:cs="Arial"/>
        </w:rPr>
      </w:pPr>
      <w:r w:rsidRPr="00A81B4E">
        <w:rPr>
          <w:rFonts w:ascii="Arial" w:hAnsi="Arial" w:cs="Arial"/>
        </w:rPr>
        <w:t>Cada uno de estos procedimientos se desarrolla bajo el enfoque de catastro colaborativo, mediante el cual los municipios asumen un rol activo en la producción, validación y actualización de la información predial, en articulación permanente con el gestor catastral. Este trabajo coordinado garantiza la interoperabilidad con el modelo LADM_COL y asegura la consistencia e integración de la información jurídica, física y económica de los inmuebles, fortaleciendo la calidad, confiabilidad y trazabilidad de los datos.</w:t>
      </w:r>
    </w:p>
    <w:p w14:paraId="143D627F" w14:textId="77777777" w:rsidR="008C03AC" w:rsidRPr="00A81B4E" w:rsidRDefault="000375DC" w:rsidP="00A81B4E">
      <w:pPr>
        <w:jc w:val="both"/>
        <w:rPr>
          <w:rFonts w:ascii="Arial" w:hAnsi="Arial" w:cs="Arial"/>
        </w:rPr>
      </w:pPr>
      <w:r w:rsidRPr="00A81B4E">
        <w:rPr>
          <w:rFonts w:ascii="Arial" w:hAnsi="Arial" w:cs="Arial"/>
        </w:rPr>
        <w:t>En conjunto, las cartillas del kit CiuData+ consolidan una metodología integral y estandarizada que no solo facilita la depuración, organización y fortalecimiento del inventario municipal, sino que también promueve la formalización predial, mejora la planificación territorial y refuerza la transparencia en la gestión pública.</w:t>
      </w:r>
    </w:p>
    <w:p w14:paraId="11F85C49" w14:textId="77777777" w:rsidR="008C03AC" w:rsidRDefault="000375DC" w:rsidP="000442C8">
      <w:pPr>
        <w:pStyle w:val="Ttulo1"/>
        <w:spacing w:line="276" w:lineRule="auto"/>
        <w:rPr>
          <w:rFonts w:ascii="Arial" w:eastAsia="Arial" w:hAnsi="Arial" w:cs="Arial"/>
          <w:b/>
          <w:bCs/>
          <w:color w:val="000000"/>
          <w:sz w:val="24"/>
          <w:szCs w:val="24"/>
        </w:rPr>
      </w:pPr>
      <w:bookmarkStart w:id="21" w:name="_heading=h.thw42v6nu1ha" w:colFirst="0" w:colLast="0"/>
      <w:bookmarkStart w:id="22" w:name="_Toc232418198"/>
      <w:bookmarkEnd w:id="21"/>
      <w:r>
        <w:rPr>
          <w:rFonts w:ascii="Arial" w:eastAsia="Arial" w:hAnsi="Arial" w:cs="Arial"/>
          <w:b/>
          <w:bCs/>
          <w:color w:val="000000"/>
          <w:sz w:val="24"/>
          <w:szCs w:val="24"/>
        </w:rPr>
        <w:lastRenderedPageBreak/>
        <w:t>Introducción</w:t>
      </w:r>
      <w:bookmarkEnd w:id="22"/>
    </w:p>
    <w:p w14:paraId="7FF90E32" w14:textId="77777777" w:rsidR="008C03AC" w:rsidRDefault="000375DC">
      <w:pPr>
        <w:spacing w:before="240" w:after="240" w:line="276" w:lineRule="auto"/>
        <w:jc w:val="both"/>
        <w:rPr>
          <w:rFonts w:ascii="Arial" w:eastAsia="Arial" w:hAnsi="Arial" w:cs="Arial"/>
        </w:rPr>
      </w:pPr>
      <w:r>
        <w:rPr>
          <w:rFonts w:ascii="Arial" w:eastAsia="Arial" w:hAnsi="Arial" w:cs="Arial"/>
        </w:rPr>
        <w:t>El espacio público es fundamental para un desarrollo urbano ordenado, la garantía del interés general y el ejercicio de los derechos colectivos. Calles, parques, plazas y zonas verdes no solo organizan la ciudad, sino que facilitan la movilidad, la recreación, la integración social y el acceso equitativo a los servicios urbanos.</w:t>
      </w:r>
    </w:p>
    <w:p w14:paraId="10A27E6A" w14:textId="77777777" w:rsidR="008C03AC" w:rsidRDefault="000375DC">
      <w:pPr>
        <w:spacing w:before="240" w:after="240" w:line="276" w:lineRule="auto"/>
        <w:jc w:val="both"/>
        <w:rPr>
          <w:rFonts w:ascii="Arial" w:eastAsia="Arial" w:hAnsi="Arial" w:cs="Arial"/>
        </w:rPr>
      </w:pPr>
      <w:r>
        <w:rPr>
          <w:rFonts w:ascii="Arial" w:eastAsia="Arial" w:hAnsi="Arial" w:cs="Arial"/>
        </w:rPr>
        <w:t>En Colombia, estos bienes gozan de protección constitucional y legal, pero en muchos municipios aún existen dificultades para identificarlos, registrarlos y formalizarlos, lo que genera inseguridad jurídica y conflictos sobre su uso y conservación.</w:t>
      </w:r>
    </w:p>
    <w:p w14:paraId="44D871DD" w14:textId="77777777" w:rsidR="008C03AC" w:rsidRDefault="000375DC">
      <w:pPr>
        <w:spacing w:before="240" w:after="240" w:line="276" w:lineRule="auto"/>
        <w:jc w:val="both"/>
        <w:rPr>
          <w:rFonts w:ascii="Arial" w:eastAsia="Arial" w:hAnsi="Arial" w:cs="Arial"/>
        </w:rPr>
      </w:pPr>
      <w:r>
        <w:rPr>
          <w:rFonts w:ascii="Arial" w:eastAsia="Arial" w:hAnsi="Arial" w:cs="Arial"/>
        </w:rPr>
        <w:t>La Ley 2044 de 2020 estableció un marco normativo que obliga a las entidades territoriales a realizar la identificación, inventario, declaratoria, titulación y registro de los bienes de uso público, reconociendo su función comunitaria, aunque no exista titularidad formal.</w:t>
      </w:r>
    </w:p>
    <w:p w14:paraId="3E94FE75" w14:textId="77777777" w:rsidR="008C03AC" w:rsidRDefault="000375DC">
      <w:pPr>
        <w:spacing w:before="240" w:after="240" w:line="276" w:lineRule="auto"/>
        <w:jc w:val="both"/>
        <w:rPr>
          <w:rFonts w:ascii="Arial" w:eastAsia="Arial" w:hAnsi="Arial" w:cs="Arial"/>
        </w:rPr>
      </w:pPr>
      <w:r>
        <w:rPr>
          <w:rFonts w:ascii="Arial" w:eastAsia="Arial" w:hAnsi="Arial" w:cs="Arial"/>
        </w:rPr>
        <w:t>Esta cartilla se concibe como una guía práctica para los municipios, orientando la correcta aplicación de la normativa y fortaleciendo la gestión integral del espacio público. Presenta los conceptos básicos sobre bienes de uso público y describe los procedimientos según la situación urbanística, incluyendo mecanismos complementarios como la expropiación por utilidad pública e interés social.</w:t>
      </w:r>
    </w:p>
    <w:p w14:paraId="74F299CE" w14:textId="77777777" w:rsidR="008C03AC" w:rsidRDefault="008C03AC">
      <w:pPr>
        <w:spacing w:before="240" w:after="240" w:line="276" w:lineRule="auto"/>
        <w:jc w:val="both"/>
        <w:rPr>
          <w:rFonts w:ascii="Arial" w:eastAsia="Arial" w:hAnsi="Arial" w:cs="Arial"/>
        </w:rPr>
      </w:pPr>
    </w:p>
    <w:p w14:paraId="1A0362BC" w14:textId="77777777" w:rsidR="008C03AC" w:rsidRDefault="008C03AC">
      <w:pPr>
        <w:spacing w:before="240" w:after="240" w:line="276" w:lineRule="auto"/>
        <w:jc w:val="both"/>
        <w:rPr>
          <w:rFonts w:ascii="Arial" w:eastAsia="Arial" w:hAnsi="Arial" w:cs="Arial"/>
        </w:rPr>
      </w:pPr>
    </w:p>
    <w:p w14:paraId="0EEF732F" w14:textId="77777777" w:rsidR="008C03AC" w:rsidRDefault="008C03AC">
      <w:pPr>
        <w:spacing w:before="240" w:after="240" w:line="276" w:lineRule="auto"/>
        <w:jc w:val="both"/>
        <w:rPr>
          <w:rFonts w:ascii="Arial" w:eastAsia="Arial" w:hAnsi="Arial" w:cs="Arial"/>
        </w:rPr>
      </w:pPr>
    </w:p>
    <w:p w14:paraId="13227DFC" w14:textId="77777777" w:rsidR="008C03AC" w:rsidRDefault="008C03AC">
      <w:pPr>
        <w:spacing w:before="240" w:after="240" w:line="276" w:lineRule="auto"/>
        <w:jc w:val="both"/>
        <w:rPr>
          <w:rFonts w:ascii="Arial" w:eastAsia="Arial" w:hAnsi="Arial" w:cs="Arial"/>
        </w:rPr>
      </w:pPr>
    </w:p>
    <w:p w14:paraId="2D47F0F5" w14:textId="77777777" w:rsidR="008C03AC" w:rsidRDefault="008C03AC">
      <w:pPr>
        <w:spacing w:before="240" w:after="240" w:line="276" w:lineRule="auto"/>
        <w:jc w:val="both"/>
        <w:rPr>
          <w:rFonts w:ascii="Arial" w:eastAsia="Arial" w:hAnsi="Arial" w:cs="Arial"/>
        </w:rPr>
      </w:pPr>
    </w:p>
    <w:p w14:paraId="3BF3BAA0" w14:textId="77777777" w:rsidR="008C03AC" w:rsidRDefault="008C03AC">
      <w:pPr>
        <w:spacing w:before="240" w:after="240" w:line="276" w:lineRule="auto"/>
        <w:jc w:val="both"/>
        <w:rPr>
          <w:rFonts w:ascii="Arial" w:eastAsia="Arial" w:hAnsi="Arial" w:cs="Arial"/>
        </w:rPr>
      </w:pPr>
    </w:p>
    <w:p w14:paraId="104B5AE1" w14:textId="77777777" w:rsidR="008C03AC" w:rsidRDefault="008C03AC">
      <w:pPr>
        <w:spacing w:before="240" w:after="240" w:line="276" w:lineRule="auto"/>
        <w:jc w:val="both"/>
        <w:rPr>
          <w:rFonts w:ascii="Arial" w:eastAsia="Arial" w:hAnsi="Arial" w:cs="Arial"/>
        </w:rPr>
      </w:pPr>
    </w:p>
    <w:p w14:paraId="35EA198B" w14:textId="77777777" w:rsidR="008C03AC" w:rsidRDefault="008C03AC">
      <w:pPr>
        <w:spacing w:before="240" w:after="240" w:line="276" w:lineRule="auto"/>
        <w:jc w:val="both"/>
        <w:rPr>
          <w:rFonts w:ascii="Arial" w:eastAsia="Arial" w:hAnsi="Arial" w:cs="Arial"/>
        </w:rPr>
      </w:pPr>
    </w:p>
    <w:p w14:paraId="70E2BEFD" w14:textId="77777777" w:rsidR="008C03AC" w:rsidRDefault="008C03AC">
      <w:pPr>
        <w:spacing w:before="240" w:after="240" w:line="276" w:lineRule="auto"/>
        <w:jc w:val="both"/>
        <w:rPr>
          <w:rFonts w:ascii="Arial" w:eastAsia="Arial" w:hAnsi="Arial" w:cs="Arial"/>
        </w:rPr>
      </w:pPr>
    </w:p>
    <w:p w14:paraId="514C6BBD" w14:textId="77777777" w:rsidR="008C03AC" w:rsidRDefault="000375DC">
      <w:pPr>
        <w:pStyle w:val="Ttulo1"/>
        <w:spacing w:line="276" w:lineRule="auto"/>
        <w:jc w:val="center"/>
        <w:rPr>
          <w:rFonts w:ascii="Arial" w:eastAsia="Arial" w:hAnsi="Arial" w:cs="Arial"/>
          <w:b/>
          <w:bCs/>
          <w:color w:val="000000"/>
          <w:sz w:val="24"/>
          <w:szCs w:val="24"/>
        </w:rPr>
      </w:pPr>
      <w:bookmarkStart w:id="23" w:name="_heading=h.qmvtlm7gdend" w:colFirst="0" w:colLast="0"/>
      <w:bookmarkStart w:id="24" w:name="_Toc232418199"/>
      <w:bookmarkEnd w:id="23"/>
      <w:r>
        <w:rPr>
          <w:rFonts w:ascii="Arial" w:eastAsia="Arial" w:hAnsi="Arial" w:cs="Arial"/>
          <w:b/>
          <w:bCs/>
          <w:color w:val="000000"/>
          <w:sz w:val="24"/>
          <w:szCs w:val="24"/>
        </w:rPr>
        <w:lastRenderedPageBreak/>
        <w:t>Capítulo 1.</w:t>
      </w:r>
      <w:bookmarkEnd w:id="24"/>
      <w:r>
        <w:rPr>
          <w:rFonts w:ascii="Arial" w:eastAsia="Arial" w:hAnsi="Arial" w:cs="Arial"/>
          <w:b/>
          <w:bCs/>
          <w:color w:val="000000"/>
          <w:sz w:val="24"/>
          <w:szCs w:val="24"/>
        </w:rPr>
        <w:t xml:space="preserve"> </w:t>
      </w:r>
    </w:p>
    <w:p w14:paraId="7BCE1084" w14:textId="77777777" w:rsidR="008C03AC" w:rsidRDefault="000375DC">
      <w:pPr>
        <w:pStyle w:val="Ttulo1"/>
        <w:spacing w:line="276" w:lineRule="auto"/>
        <w:jc w:val="center"/>
        <w:rPr>
          <w:rFonts w:ascii="Arial" w:eastAsia="Arial" w:hAnsi="Arial" w:cs="Arial"/>
          <w:b/>
          <w:bCs/>
          <w:color w:val="000000"/>
          <w:sz w:val="24"/>
          <w:szCs w:val="24"/>
        </w:rPr>
      </w:pPr>
      <w:bookmarkStart w:id="25" w:name="_heading=h.bhkyxi3dbu1z" w:colFirst="0" w:colLast="0"/>
      <w:bookmarkStart w:id="26" w:name="_Toc232418200"/>
      <w:bookmarkEnd w:id="25"/>
      <w:r>
        <w:rPr>
          <w:rFonts w:ascii="Arial" w:eastAsia="Arial" w:hAnsi="Arial" w:cs="Arial"/>
          <w:b/>
          <w:bCs/>
          <w:color w:val="000000"/>
          <w:sz w:val="24"/>
          <w:szCs w:val="24"/>
        </w:rPr>
        <w:t>Generalidades y definiciones</w:t>
      </w:r>
      <w:bookmarkEnd w:id="26"/>
    </w:p>
    <w:p w14:paraId="2B5C9682" w14:textId="77777777" w:rsidR="008C03AC" w:rsidRDefault="008C03AC">
      <w:pPr>
        <w:spacing w:line="276" w:lineRule="auto"/>
        <w:rPr>
          <w:rFonts w:ascii="Arial" w:eastAsia="Arial" w:hAnsi="Arial" w:cs="Arial"/>
        </w:rPr>
      </w:pPr>
    </w:p>
    <w:p w14:paraId="1A06CB20" w14:textId="77777777" w:rsidR="008C03AC" w:rsidRDefault="000375DC">
      <w:pPr>
        <w:spacing w:line="276" w:lineRule="auto"/>
        <w:jc w:val="both"/>
        <w:rPr>
          <w:rFonts w:ascii="Arial" w:eastAsia="Arial" w:hAnsi="Arial" w:cs="Arial"/>
        </w:rPr>
      </w:pPr>
      <w:r>
        <w:rPr>
          <w:rFonts w:ascii="Arial" w:eastAsia="Arial" w:hAnsi="Arial" w:cs="Arial"/>
        </w:rPr>
        <w:t xml:space="preserve">Esta cartilla es un recurso técnico diseñado para guiar a los municipios, en los procesos de identificación y formalización de los bienes de uso público. </w:t>
      </w:r>
    </w:p>
    <w:p w14:paraId="11AB528F" w14:textId="77777777" w:rsidR="008C03AC" w:rsidRPr="00F51B3B" w:rsidRDefault="000375DC" w:rsidP="00F51B3B">
      <w:pPr>
        <w:pStyle w:val="Ttulo2"/>
        <w:rPr>
          <w:rFonts w:ascii="Arial" w:hAnsi="Arial" w:cs="Arial"/>
          <w:b/>
          <w:bCs/>
          <w:color w:val="000000" w:themeColor="text1"/>
          <w:sz w:val="24"/>
          <w:szCs w:val="24"/>
        </w:rPr>
      </w:pPr>
      <w:bookmarkStart w:id="27" w:name="_heading=h.y7e16glgxone" w:colFirst="0" w:colLast="0"/>
      <w:bookmarkStart w:id="28" w:name="_Toc232418201"/>
      <w:bookmarkEnd w:id="27"/>
      <w:r w:rsidRPr="00F51B3B">
        <w:rPr>
          <w:rFonts w:ascii="Arial" w:hAnsi="Arial" w:cs="Arial"/>
          <w:b/>
          <w:bCs/>
          <w:color w:val="000000" w:themeColor="text1"/>
          <w:sz w:val="24"/>
          <w:szCs w:val="24"/>
        </w:rPr>
        <w:t>1.1. ¿Cuál es el objetivo de la cartilla?</w:t>
      </w:r>
      <w:bookmarkEnd w:id="28"/>
    </w:p>
    <w:p w14:paraId="748AF9CF" w14:textId="77777777" w:rsidR="008C03AC" w:rsidRDefault="000375DC">
      <w:pPr>
        <w:spacing w:before="240" w:after="240" w:line="276" w:lineRule="auto"/>
        <w:jc w:val="both"/>
        <w:rPr>
          <w:rFonts w:ascii="Arial" w:eastAsia="Arial" w:hAnsi="Arial" w:cs="Arial"/>
        </w:rPr>
      </w:pPr>
      <w:r>
        <w:rPr>
          <w:rFonts w:ascii="Arial" w:eastAsia="Arial" w:hAnsi="Arial" w:cs="Arial"/>
        </w:rPr>
        <w:t>Busca servir como una guía práctica que permita a los funcionarios públicos contar con criterios claros y homogéneos para adelantar los procesos relacionados con la formalización del espacio público, reduciendo riesgos jurídicos y fortaleciendo la gestión del patrimonio inmobiliario público.</w:t>
      </w:r>
    </w:p>
    <w:p w14:paraId="129E6D71" w14:textId="77777777" w:rsidR="008C03AC" w:rsidRPr="00F51B3B" w:rsidRDefault="000375DC" w:rsidP="00F51B3B">
      <w:pPr>
        <w:pStyle w:val="Ttulo2"/>
        <w:rPr>
          <w:rFonts w:ascii="Arial" w:hAnsi="Arial" w:cs="Arial"/>
          <w:b/>
          <w:bCs/>
          <w:color w:val="000000" w:themeColor="text1"/>
          <w:sz w:val="24"/>
          <w:szCs w:val="24"/>
        </w:rPr>
      </w:pPr>
      <w:bookmarkStart w:id="29" w:name="_heading=h.cquu5xdblu43" w:colFirst="0" w:colLast="0"/>
      <w:bookmarkStart w:id="30" w:name="_Toc232418202"/>
      <w:bookmarkEnd w:id="29"/>
      <w:r w:rsidRPr="00F51B3B">
        <w:rPr>
          <w:rFonts w:ascii="Arial" w:hAnsi="Arial" w:cs="Arial"/>
          <w:b/>
          <w:bCs/>
          <w:color w:val="000000" w:themeColor="text1"/>
          <w:sz w:val="24"/>
          <w:szCs w:val="24"/>
        </w:rPr>
        <w:t>1.2. ¿Cuál es el alcance y las limitaciones de la Cartilla?</w:t>
      </w:r>
      <w:bookmarkEnd w:id="30"/>
    </w:p>
    <w:p w14:paraId="62D9499C" w14:textId="77777777" w:rsidR="008C03AC" w:rsidRDefault="000375DC">
      <w:pPr>
        <w:spacing w:before="240" w:after="240" w:line="276" w:lineRule="auto"/>
        <w:jc w:val="both"/>
        <w:rPr>
          <w:rFonts w:ascii="Arial" w:eastAsia="Arial" w:hAnsi="Arial" w:cs="Arial"/>
        </w:rPr>
      </w:pPr>
      <w:r>
        <w:rPr>
          <w:rFonts w:ascii="Arial" w:eastAsia="Arial" w:hAnsi="Arial" w:cs="Arial"/>
        </w:rPr>
        <w:t>Tiene un alcance orientador y pedagógico, en esta Cartilla se describen los principales conceptos, procedimientos y etapas que deben surtirse para la declaratoria, titulación y registro de los bienes de uso público, tanto en predios con antecedentes de dominio privado como en predios públicos. No obstante, el documento no sustituye el análisis jurídico particular que deba realizarse en cada caso concreto. Cada entidad territorial deberá evaluar las particularidades técnicas, jurídicas y urbanísticas de los predios objeto de formalización.</w:t>
      </w:r>
    </w:p>
    <w:p w14:paraId="44E9E367" w14:textId="77777777" w:rsidR="008C03AC" w:rsidRPr="00F51B3B" w:rsidRDefault="000375DC" w:rsidP="00F51B3B">
      <w:pPr>
        <w:pStyle w:val="Ttulo2"/>
        <w:rPr>
          <w:rFonts w:ascii="Arial" w:hAnsi="Arial" w:cs="Arial"/>
          <w:b/>
          <w:bCs/>
          <w:color w:val="000000" w:themeColor="text1"/>
          <w:sz w:val="24"/>
          <w:szCs w:val="24"/>
        </w:rPr>
      </w:pPr>
      <w:bookmarkStart w:id="31" w:name="_heading=h.av3lcrgc39kn" w:colFirst="0" w:colLast="0"/>
      <w:bookmarkStart w:id="32" w:name="_Toc232418203"/>
      <w:bookmarkEnd w:id="31"/>
      <w:r w:rsidRPr="00F51B3B">
        <w:rPr>
          <w:rFonts w:ascii="Arial" w:hAnsi="Arial" w:cs="Arial"/>
          <w:b/>
          <w:bCs/>
          <w:color w:val="000000" w:themeColor="text1"/>
          <w:sz w:val="24"/>
          <w:szCs w:val="24"/>
        </w:rPr>
        <w:t>1.3. ¿En qué consiste la legalización de los bienes de uso público?</w:t>
      </w:r>
      <w:bookmarkEnd w:id="32"/>
    </w:p>
    <w:p w14:paraId="5BC5B850" w14:textId="77777777" w:rsidR="008C03AC" w:rsidRDefault="000375DC">
      <w:pPr>
        <w:spacing w:before="240" w:after="240" w:line="276" w:lineRule="auto"/>
        <w:jc w:val="both"/>
        <w:rPr>
          <w:rFonts w:ascii="Arial" w:eastAsia="Arial" w:hAnsi="Arial" w:cs="Arial"/>
          <w:b/>
          <w:bCs/>
        </w:rPr>
      </w:pPr>
      <w:r>
        <w:rPr>
          <w:rFonts w:ascii="Arial" w:eastAsia="Arial" w:hAnsi="Arial" w:cs="Arial"/>
        </w:rPr>
        <w:t>La legalización y formalización de los bienes de uso público es un proceso esencial para proteger el interés general y garantizar su adecuada administración, ya que la falta de actos administrativos, títulos registrados o inventarios actualizados puede generar conflictos de propiedad, ocupaciones indebidas y dificultades en la ejecución de proyectos urbanos. Este proceso fortalece la seguridad jurídica de las entidades territoriales, protege el espacio público frente a apropiaciones irregulares, facilita la planeación y el ordenamiento del territorio, y permite una gestión más eficiente para su mantenimiento y conservación.</w:t>
      </w:r>
    </w:p>
    <w:p w14:paraId="4B3CC35B" w14:textId="77777777" w:rsidR="008C03AC" w:rsidRPr="00F51B3B" w:rsidRDefault="000375DC" w:rsidP="00F51B3B">
      <w:pPr>
        <w:pStyle w:val="Ttulo2"/>
        <w:rPr>
          <w:rFonts w:ascii="Arial" w:hAnsi="Arial" w:cs="Arial"/>
          <w:b/>
          <w:bCs/>
          <w:color w:val="000000" w:themeColor="text1"/>
          <w:sz w:val="24"/>
          <w:szCs w:val="24"/>
        </w:rPr>
      </w:pPr>
      <w:bookmarkStart w:id="33" w:name="_heading=h.2yphzmzi9ris" w:colFirst="0" w:colLast="0"/>
      <w:bookmarkStart w:id="34" w:name="_Toc232418204"/>
      <w:bookmarkEnd w:id="33"/>
      <w:r w:rsidRPr="00F51B3B">
        <w:rPr>
          <w:rFonts w:ascii="Arial" w:hAnsi="Arial" w:cs="Arial"/>
          <w:b/>
          <w:bCs/>
          <w:color w:val="000000" w:themeColor="text1"/>
          <w:sz w:val="24"/>
          <w:szCs w:val="24"/>
        </w:rPr>
        <w:lastRenderedPageBreak/>
        <w:t>1.4. Contexto normativo</w:t>
      </w:r>
      <w:bookmarkEnd w:id="34"/>
    </w:p>
    <w:p w14:paraId="751F6248" w14:textId="77777777" w:rsidR="008C03AC" w:rsidRDefault="000375DC">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La titulación y registro de predios de uso público, así como la expropiación de predios privados por motivos de utilidad pública e interés social, se basan normativamente en una interpretación conjunta de la Constitución Política y varias normas claves cómo: la Ley 2044 de 2020, la Ley 388 de 1997, la Ley 9 de 1989, la Ley 1579 de 2012, el Código de Procedimiento Administrativo y de lo Contencioso Administrativo (CPCA), y la normativa catastral vigente.</w:t>
      </w:r>
    </w:p>
    <w:p w14:paraId="500A5765" w14:textId="77777777" w:rsidR="008C03AC" w:rsidRDefault="000375DC">
      <w:pPr>
        <w:pBdr>
          <w:top w:val="nil"/>
          <w:left w:val="nil"/>
          <w:bottom w:val="nil"/>
          <w:right w:val="nil"/>
          <w:between w:val="nil"/>
        </w:pBdr>
        <w:spacing w:line="276" w:lineRule="auto"/>
        <w:jc w:val="both"/>
        <w:rPr>
          <w:rFonts w:ascii="Arial" w:eastAsia="Arial" w:hAnsi="Arial" w:cs="Arial"/>
        </w:rPr>
      </w:pPr>
      <w:r>
        <w:rPr>
          <w:rFonts w:ascii="Arial" w:eastAsia="Arial" w:hAnsi="Arial" w:cs="Arial"/>
        </w:rPr>
        <w:t>Este conjunto de normas establece los procedimientos para formalizar, titular, registrar y expropiar inmuebles, garantizando el interés general, la función social y ecológica de la propiedad, y la protección del espacio público, sin afectar los derechos de los particulares ni el debido proceso, incluyendo la indemnización previa cuando corresponda.</w:t>
      </w:r>
    </w:p>
    <w:p w14:paraId="37C7A59E" w14:textId="77777777" w:rsidR="008C03AC" w:rsidRPr="00F51B3B" w:rsidRDefault="000375DC" w:rsidP="00F51B3B">
      <w:pPr>
        <w:pStyle w:val="Ttulo2"/>
        <w:rPr>
          <w:rFonts w:ascii="Arial" w:hAnsi="Arial" w:cs="Arial"/>
          <w:b/>
          <w:bCs/>
          <w:color w:val="000000" w:themeColor="text1"/>
          <w:sz w:val="24"/>
          <w:szCs w:val="24"/>
        </w:rPr>
      </w:pPr>
      <w:bookmarkStart w:id="35" w:name="_heading=h.yso70vxmh7du" w:colFirst="0" w:colLast="0"/>
      <w:bookmarkStart w:id="36" w:name="_Toc232418205"/>
      <w:bookmarkEnd w:id="35"/>
      <w:r w:rsidRPr="00F51B3B">
        <w:rPr>
          <w:rFonts w:ascii="Arial" w:hAnsi="Arial" w:cs="Arial"/>
          <w:b/>
          <w:bCs/>
          <w:color w:val="000000" w:themeColor="text1"/>
          <w:sz w:val="24"/>
          <w:szCs w:val="24"/>
        </w:rPr>
        <w:t>1.5 Conceptos básicos</w:t>
      </w:r>
      <w:bookmarkEnd w:id="36"/>
    </w:p>
    <w:p w14:paraId="012975C5" w14:textId="77777777" w:rsidR="008C03AC" w:rsidRDefault="000375DC">
      <w:pPr>
        <w:spacing w:line="276" w:lineRule="auto"/>
        <w:jc w:val="both"/>
        <w:rPr>
          <w:rFonts w:ascii="Arial" w:eastAsia="Arial" w:hAnsi="Arial" w:cs="Arial"/>
        </w:rPr>
      </w:pPr>
      <w:r>
        <w:rPr>
          <w:rFonts w:ascii="Arial" w:eastAsia="Arial" w:hAnsi="Arial" w:cs="Arial"/>
        </w:rPr>
        <w:t>Los conceptos básicos sobre bienes de uso público y su clasificación son fundamentales para comprender la forma en que el Estado administra y protege los recursos destinados al beneficio de toda la comunidad.</w:t>
      </w:r>
    </w:p>
    <w:p w14:paraId="2E97B21A" w14:textId="47AFBA1E" w:rsidR="008C03AC" w:rsidRPr="000442C8" w:rsidRDefault="000375DC" w:rsidP="000442C8">
      <w:pPr>
        <w:pStyle w:val="Prrafodelista"/>
        <w:numPr>
          <w:ilvl w:val="0"/>
          <w:numId w:val="19"/>
        </w:numPr>
        <w:rPr>
          <w:rFonts w:ascii="Arial" w:hAnsi="Arial" w:cs="Arial"/>
          <w:b/>
          <w:bCs/>
        </w:rPr>
      </w:pPr>
      <w:bookmarkStart w:id="37" w:name="_heading=h.6q11wvhcwx89" w:colFirst="0" w:colLast="0"/>
      <w:bookmarkEnd w:id="37"/>
      <w:r w:rsidRPr="000442C8">
        <w:rPr>
          <w:rFonts w:ascii="Arial" w:hAnsi="Arial" w:cs="Arial"/>
          <w:b/>
          <w:bCs/>
        </w:rPr>
        <w:t>Bienes de uso público</w:t>
      </w:r>
    </w:p>
    <w:p w14:paraId="0C985762" w14:textId="77777777" w:rsidR="008C03AC" w:rsidRDefault="000375DC">
      <w:pPr>
        <w:spacing w:line="276" w:lineRule="auto"/>
        <w:jc w:val="both"/>
        <w:rPr>
          <w:rFonts w:ascii="Arial" w:eastAsia="Arial" w:hAnsi="Arial" w:cs="Arial"/>
          <w:color w:val="0A0A0A"/>
          <w:highlight w:val="white"/>
        </w:rPr>
      </w:pPr>
      <w:r>
        <w:rPr>
          <w:rFonts w:ascii="Arial" w:eastAsia="Arial" w:hAnsi="Arial" w:cs="Arial"/>
        </w:rPr>
        <w:t xml:space="preserve">Los bienes de uso público en Colombia son aquellos cuyo dominio pertenece a la Nación o a las Entidades Territoriales y su uso corresponde a todos los habitantes de la Nación cómo, por ejemplo: las </w:t>
      </w:r>
      <w:r>
        <w:rPr>
          <w:rFonts w:ascii="Arial" w:eastAsia="Arial" w:hAnsi="Arial" w:cs="Arial"/>
          <w:color w:val="0A0A0A"/>
          <w:highlight w:val="white"/>
        </w:rPr>
        <w:t>calles, andenes, plazas, parques y playas.</w:t>
      </w:r>
    </w:p>
    <w:p w14:paraId="4B5CF19A" w14:textId="77777777" w:rsidR="008C03AC" w:rsidRDefault="000375DC">
      <w:pPr>
        <w:spacing w:line="276" w:lineRule="auto"/>
        <w:jc w:val="both"/>
        <w:rPr>
          <w:rFonts w:ascii="Arial" w:eastAsia="Arial" w:hAnsi="Arial" w:cs="Arial"/>
          <w:color w:val="0A0A0A"/>
          <w:highlight w:val="white"/>
        </w:rPr>
      </w:pPr>
      <w:r>
        <w:rPr>
          <w:rFonts w:ascii="Arial" w:eastAsia="Arial" w:hAnsi="Arial" w:cs="Arial"/>
          <w:color w:val="0A0A0A"/>
          <w:highlight w:val="white"/>
        </w:rPr>
        <w:t>En virtud de su naturaleza legal, estos bienes revisten cinco (5) características fundamentales:</w:t>
      </w:r>
    </w:p>
    <w:p w14:paraId="47AD7C78" w14:textId="77777777" w:rsidR="008C03AC" w:rsidRDefault="000375DC" w:rsidP="000442C8">
      <w:pPr>
        <w:numPr>
          <w:ilvl w:val="0"/>
          <w:numId w:val="20"/>
        </w:numPr>
        <w:pBdr>
          <w:top w:val="nil"/>
          <w:left w:val="nil"/>
          <w:bottom w:val="nil"/>
          <w:right w:val="nil"/>
          <w:between w:val="nil"/>
        </w:pBdr>
        <w:spacing w:after="0" w:line="276" w:lineRule="auto"/>
        <w:jc w:val="both"/>
        <w:rPr>
          <w:rFonts w:ascii="Arial Narrow" w:eastAsia="Arial Narrow" w:hAnsi="Arial Narrow" w:cs="Arial Narrow"/>
          <w:color w:val="0A0A0A"/>
          <w:highlight w:val="white"/>
        </w:rPr>
      </w:pPr>
      <w:proofErr w:type="gramStart"/>
      <w:r>
        <w:rPr>
          <w:rFonts w:ascii="Arial" w:eastAsia="Arial" w:hAnsi="Arial" w:cs="Arial"/>
          <w:b/>
          <w:bCs/>
          <w:color w:val="0A0A0A"/>
          <w:highlight w:val="white"/>
        </w:rPr>
        <w:t>Inalienabilidad :</w:t>
      </w:r>
      <w:proofErr w:type="gramEnd"/>
      <w:r>
        <w:rPr>
          <w:rFonts w:ascii="Arial" w:eastAsia="Arial" w:hAnsi="Arial" w:cs="Arial"/>
          <w:color w:val="0A0A0A"/>
          <w:highlight w:val="white"/>
        </w:rPr>
        <w:t xml:space="preserve"> no pueden ser vendidos ni transferidos a particulares.</w:t>
      </w:r>
    </w:p>
    <w:p w14:paraId="658CEFBE" w14:textId="77777777" w:rsidR="008C03AC" w:rsidRDefault="000375DC" w:rsidP="000442C8">
      <w:pPr>
        <w:numPr>
          <w:ilvl w:val="0"/>
          <w:numId w:val="20"/>
        </w:numPr>
        <w:spacing w:after="0" w:line="276" w:lineRule="auto"/>
        <w:jc w:val="both"/>
        <w:rPr>
          <w:rFonts w:ascii="Arial Narrow" w:eastAsia="Arial Narrow" w:hAnsi="Arial Narrow" w:cs="Arial Narrow"/>
          <w:color w:val="0A0A0A"/>
          <w:highlight w:val="white"/>
        </w:rPr>
      </w:pPr>
      <w:proofErr w:type="gramStart"/>
      <w:r>
        <w:rPr>
          <w:rFonts w:ascii="Arial" w:eastAsia="Arial" w:hAnsi="Arial" w:cs="Arial"/>
          <w:b/>
          <w:bCs/>
          <w:color w:val="0A0A0A"/>
          <w:highlight w:val="white"/>
        </w:rPr>
        <w:t xml:space="preserve">Imprescriptibilidad </w:t>
      </w:r>
      <w:r>
        <w:rPr>
          <w:rFonts w:ascii="Arial" w:eastAsia="Arial" w:hAnsi="Arial" w:cs="Arial"/>
          <w:color w:val="0A0A0A"/>
          <w:highlight w:val="white"/>
        </w:rPr>
        <w:t>:</w:t>
      </w:r>
      <w:proofErr w:type="gramEnd"/>
      <w:r>
        <w:rPr>
          <w:rFonts w:ascii="Arial" w:eastAsia="Arial" w:hAnsi="Arial" w:cs="Arial"/>
          <w:color w:val="0A0A0A"/>
          <w:highlight w:val="white"/>
        </w:rPr>
        <w:t xml:space="preserve"> No pueden adquirirse por prescripción</w:t>
      </w:r>
    </w:p>
    <w:p w14:paraId="6AD6384B" w14:textId="77777777" w:rsidR="008C03AC" w:rsidRDefault="000375DC" w:rsidP="000442C8">
      <w:pPr>
        <w:numPr>
          <w:ilvl w:val="0"/>
          <w:numId w:val="20"/>
        </w:numPr>
        <w:spacing w:after="0" w:line="276" w:lineRule="auto"/>
        <w:jc w:val="both"/>
        <w:rPr>
          <w:rFonts w:ascii="Arial Narrow" w:eastAsia="Arial Narrow" w:hAnsi="Arial Narrow" w:cs="Arial Narrow"/>
          <w:color w:val="0A0A0A"/>
          <w:highlight w:val="white"/>
        </w:rPr>
      </w:pPr>
      <w:proofErr w:type="gramStart"/>
      <w:r>
        <w:rPr>
          <w:rFonts w:ascii="Arial" w:eastAsia="Arial" w:hAnsi="Arial" w:cs="Arial"/>
          <w:b/>
          <w:bCs/>
          <w:color w:val="0A0A0A"/>
          <w:highlight w:val="white"/>
        </w:rPr>
        <w:t>Inembargabilidad :</w:t>
      </w:r>
      <w:proofErr w:type="gramEnd"/>
      <w:r>
        <w:rPr>
          <w:rFonts w:ascii="Arial" w:eastAsia="Arial" w:hAnsi="Arial" w:cs="Arial"/>
          <w:color w:val="0A0A0A"/>
          <w:highlight w:val="white"/>
        </w:rPr>
        <w:t xml:space="preserve"> No pueden ser objeto de embargos judiciales.</w:t>
      </w:r>
    </w:p>
    <w:p w14:paraId="373A8125" w14:textId="77777777" w:rsidR="008C03AC" w:rsidRDefault="000375DC" w:rsidP="000442C8">
      <w:pPr>
        <w:numPr>
          <w:ilvl w:val="0"/>
          <w:numId w:val="20"/>
        </w:numPr>
        <w:spacing w:after="0" w:line="276" w:lineRule="auto"/>
        <w:jc w:val="both"/>
        <w:rPr>
          <w:rFonts w:ascii="Arial Narrow" w:eastAsia="Arial Narrow" w:hAnsi="Arial Narrow" w:cs="Arial Narrow"/>
          <w:color w:val="0A0A0A"/>
          <w:highlight w:val="white"/>
        </w:rPr>
      </w:pPr>
      <w:r>
        <w:rPr>
          <w:rFonts w:ascii="Arial" w:eastAsia="Arial" w:hAnsi="Arial" w:cs="Arial"/>
          <w:b/>
          <w:bCs/>
          <w:color w:val="0A0A0A"/>
          <w:highlight w:val="white"/>
        </w:rPr>
        <w:t>Dominio Público:</w:t>
      </w:r>
      <w:r>
        <w:rPr>
          <w:rFonts w:ascii="Arial" w:eastAsia="Arial" w:hAnsi="Arial" w:cs="Arial"/>
          <w:color w:val="0A0A0A"/>
          <w:highlight w:val="white"/>
        </w:rPr>
        <w:t xml:space="preserve"> Su propiedad es del Estado (Departamento o Municipio)</w:t>
      </w:r>
    </w:p>
    <w:p w14:paraId="5A79317F" w14:textId="77777777" w:rsidR="008C03AC" w:rsidRDefault="000375DC" w:rsidP="000442C8">
      <w:pPr>
        <w:numPr>
          <w:ilvl w:val="0"/>
          <w:numId w:val="20"/>
        </w:numPr>
        <w:spacing w:after="420" w:line="276" w:lineRule="auto"/>
        <w:jc w:val="both"/>
        <w:rPr>
          <w:rFonts w:ascii="Arial Narrow" w:eastAsia="Arial Narrow" w:hAnsi="Arial Narrow" w:cs="Arial Narrow"/>
          <w:color w:val="0A0A0A"/>
          <w:highlight w:val="white"/>
        </w:rPr>
      </w:pPr>
      <w:bookmarkStart w:id="38" w:name="_heading=h.h5lac2o3mahh" w:colFirst="0" w:colLast="0"/>
      <w:bookmarkEnd w:id="38"/>
      <w:r>
        <w:rPr>
          <w:rFonts w:ascii="Arial" w:eastAsia="Arial" w:hAnsi="Arial" w:cs="Arial"/>
          <w:b/>
          <w:bCs/>
          <w:color w:val="0A0A0A"/>
          <w:highlight w:val="white"/>
        </w:rPr>
        <w:t>Uso Común:</w:t>
      </w:r>
      <w:r>
        <w:rPr>
          <w:rFonts w:ascii="Arial" w:eastAsia="Arial" w:hAnsi="Arial" w:cs="Arial"/>
          <w:color w:val="0A0A0A"/>
          <w:highlight w:val="white"/>
        </w:rPr>
        <w:t xml:space="preserve"> Están destinados al uso y disfrute de toda la comunidad, sin restricciones individuales.</w:t>
      </w:r>
    </w:p>
    <w:p w14:paraId="766CB2CB" w14:textId="77777777" w:rsidR="008C03AC" w:rsidRDefault="008C03AC">
      <w:pPr>
        <w:spacing w:after="420" w:line="276" w:lineRule="auto"/>
        <w:ind w:left="720"/>
        <w:jc w:val="both"/>
        <w:rPr>
          <w:rFonts w:ascii="Arial" w:eastAsia="Arial" w:hAnsi="Arial" w:cs="Arial"/>
          <w:color w:val="0A0A0A"/>
          <w:highlight w:val="white"/>
        </w:rPr>
      </w:pPr>
      <w:bookmarkStart w:id="39" w:name="_heading=h.arsqa4tyfuh8" w:colFirst="0" w:colLast="0"/>
      <w:bookmarkEnd w:id="39"/>
    </w:p>
    <w:p w14:paraId="431417E6" w14:textId="77777777" w:rsidR="008C03AC" w:rsidRDefault="008C03AC">
      <w:pPr>
        <w:spacing w:after="420" w:line="276" w:lineRule="auto"/>
        <w:ind w:left="720"/>
        <w:jc w:val="both"/>
        <w:rPr>
          <w:rFonts w:ascii="Arial" w:eastAsia="Arial" w:hAnsi="Arial" w:cs="Arial"/>
          <w:color w:val="0A0A0A"/>
          <w:highlight w:val="white"/>
        </w:rPr>
      </w:pPr>
    </w:p>
    <w:p w14:paraId="74E599A9" w14:textId="77777777" w:rsidR="008C03AC" w:rsidRDefault="000375DC">
      <w:pPr>
        <w:numPr>
          <w:ilvl w:val="0"/>
          <w:numId w:val="8"/>
        </w:numPr>
        <w:spacing w:after="420" w:line="276" w:lineRule="auto"/>
        <w:jc w:val="both"/>
        <w:rPr>
          <w:rFonts w:ascii="Arial" w:eastAsia="Arial" w:hAnsi="Arial" w:cs="Arial"/>
        </w:rPr>
      </w:pPr>
      <w:bookmarkStart w:id="40" w:name="_heading=h.per0nsacj5a5" w:colFirst="0" w:colLast="0"/>
      <w:bookmarkEnd w:id="40"/>
      <w:r>
        <w:rPr>
          <w:rFonts w:ascii="Arial" w:eastAsia="Arial" w:hAnsi="Arial" w:cs="Arial"/>
          <w:b/>
          <w:bCs/>
        </w:rPr>
        <w:lastRenderedPageBreak/>
        <w:t xml:space="preserve">Principales diferencias entre bienes públicos, bienes fiscales y bienes privados. </w:t>
      </w:r>
      <w:r>
        <w:rPr>
          <w:rFonts w:ascii="Arial" w:eastAsia="Arial" w:hAnsi="Arial" w:cs="Arial"/>
        </w:rPr>
        <w:t>Existen diferencias entre los tres (3) tipos de bienes relevantes para el desarrollo de la presente Cartilla:</w:t>
      </w:r>
    </w:p>
    <w:p w14:paraId="2744D0B2" w14:textId="16738BC6" w:rsidR="008C03AC" w:rsidRPr="000C6570" w:rsidRDefault="000C6570" w:rsidP="000C6570">
      <w:pPr>
        <w:pStyle w:val="Descripcin"/>
        <w:jc w:val="center"/>
        <w:rPr>
          <w:rFonts w:ascii="Arial" w:eastAsia="Arial" w:hAnsi="Arial" w:cs="Arial"/>
          <w:b/>
          <w:bCs/>
          <w:i w:val="0"/>
          <w:iCs w:val="0"/>
          <w:color w:val="000000" w:themeColor="text1"/>
          <w:sz w:val="22"/>
          <w:szCs w:val="22"/>
        </w:rPr>
      </w:pPr>
      <w:bookmarkStart w:id="41" w:name="_Toc232418223"/>
      <w:r w:rsidRPr="000C6570">
        <w:rPr>
          <w:rFonts w:ascii="Arial" w:hAnsi="Arial" w:cs="Arial"/>
          <w:b/>
          <w:bCs/>
          <w:i w:val="0"/>
          <w:iCs w:val="0"/>
          <w:color w:val="000000" w:themeColor="text1"/>
          <w:sz w:val="22"/>
          <w:szCs w:val="22"/>
        </w:rPr>
        <w:t xml:space="preserve">Gráfica </w:t>
      </w:r>
      <w:r w:rsidRPr="000C6570">
        <w:rPr>
          <w:rFonts w:ascii="Arial" w:hAnsi="Arial" w:cs="Arial"/>
          <w:b/>
          <w:bCs/>
          <w:i w:val="0"/>
          <w:iCs w:val="0"/>
          <w:color w:val="000000" w:themeColor="text1"/>
          <w:sz w:val="22"/>
          <w:szCs w:val="22"/>
        </w:rPr>
        <w:fldChar w:fldCharType="begin"/>
      </w:r>
      <w:r w:rsidRPr="000C6570">
        <w:rPr>
          <w:rFonts w:ascii="Arial" w:hAnsi="Arial" w:cs="Arial"/>
          <w:b/>
          <w:bCs/>
          <w:i w:val="0"/>
          <w:iCs w:val="0"/>
          <w:color w:val="000000" w:themeColor="text1"/>
          <w:sz w:val="22"/>
          <w:szCs w:val="22"/>
        </w:rPr>
        <w:instrText xml:space="preserve"> SEQ Gráfica \* ARABIC </w:instrText>
      </w:r>
      <w:r w:rsidRPr="000C6570">
        <w:rPr>
          <w:rFonts w:ascii="Arial" w:hAnsi="Arial" w:cs="Arial"/>
          <w:b/>
          <w:bCs/>
          <w:i w:val="0"/>
          <w:iCs w:val="0"/>
          <w:color w:val="000000" w:themeColor="text1"/>
          <w:sz w:val="22"/>
          <w:szCs w:val="22"/>
        </w:rPr>
        <w:fldChar w:fldCharType="separate"/>
      </w:r>
      <w:r w:rsidR="007733E7">
        <w:rPr>
          <w:rFonts w:ascii="Arial" w:hAnsi="Arial" w:cs="Arial"/>
          <w:b/>
          <w:bCs/>
          <w:i w:val="0"/>
          <w:iCs w:val="0"/>
          <w:noProof/>
          <w:color w:val="000000" w:themeColor="text1"/>
          <w:sz w:val="22"/>
          <w:szCs w:val="22"/>
        </w:rPr>
        <w:t>2</w:t>
      </w:r>
      <w:r w:rsidRPr="000C6570">
        <w:rPr>
          <w:rFonts w:ascii="Arial" w:hAnsi="Arial" w:cs="Arial"/>
          <w:b/>
          <w:bCs/>
          <w:i w:val="0"/>
          <w:iCs w:val="0"/>
          <w:color w:val="000000" w:themeColor="text1"/>
          <w:sz w:val="22"/>
          <w:szCs w:val="22"/>
        </w:rPr>
        <w:fldChar w:fldCharType="end"/>
      </w:r>
      <w:r w:rsidRPr="000C6570">
        <w:rPr>
          <w:rFonts w:ascii="Arial" w:hAnsi="Arial" w:cs="Arial"/>
          <w:b/>
          <w:bCs/>
          <w:i w:val="0"/>
          <w:iCs w:val="0"/>
          <w:color w:val="000000" w:themeColor="text1"/>
          <w:sz w:val="22"/>
          <w:szCs w:val="22"/>
        </w:rPr>
        <w:t>. Diferencias entre bienes de uso público, bienes fiscales y bienes privados</w:t>
      </w:r>
      <w:bookmarkEnd w:id="41"/>
    </w:p>
    <w:p w14:paraId="16071083" w14:textId="77777777" w:rsidR="008C03AC" w:rsidRDefault="000375DC">
      <w:pPr>
        <w:spacing w:after="0" w:line="276" w:lineRule="auto"/>
        <w:ind w:left="566"/>
        <w:jc w:val="center"/>
        <w:rPr>
          <w:rFonts w:ascii="Arial" w:eastAsia="Arial" w:hAnsi="Arial" w:cs="Arial"/>
          <w:b/>
          <w:bCs/>
        </w:rPr>
      </w:pPr>
      <w:r>
        <w:rPr>
          <w:noProof/>
        </w:rPr>
        <w:drawing>
          <wp:anchor distT="0" distB="0" distL="114300" distR="114300" simplePos="0" relativeHeight="251658240" behindDoc="0" locked="0" layoutInCell="1" hidden="0" allowOverlap="1" wp14:anchorId="2E8AC4CE" wp14:editId="1CACECAD">
            <wp:simplePos x="0" y="0"/>
            <wp:positionH relativeFrom="column">
              <wp:posOffset>844287</wp:posOffset>
            </wp:positionH>
            <wp:positionV relativeFrom="paragraph">
              <wp:posOffset>7233</wp:posOffset>
            </wp:positionV>
            <wp:extent cx="4482465" cy="5359400"/>
            <wp:effectExtent l="0" t="0" r="0" b="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t="11087"/>
                    <a:stretch>
                      <a:fillRect/>
                    </a:stretch>
                  </pic:blipFill>
                  <pic:spPr>
                    <a:xfrm>
                      <a:off x="0" y="0"/>
                      <a:ext cx="4482465" cy="5359400"/>
                    </a:xfrm>
                    <a:prstGeom prst="rect">
                      <a:avLst/>
                    </a:prstGeom>
                    <a:ln/>
                  </pic:spPr>
                </pic:pic>
              </a:graphicData>
            </a:graphic>
          </wp:anchor>
        </w:drawing>
      </w:r>
    </w:p>
    <w:p w14:paraId="28112EE2" w14:textId="77777777" w:rsidR="008C03AC" w:rsidRDefault="008C03AC">
      <w:pPr>
        <w:spacing w:before="180" w:after="420" w:line="276" w:lineRule="auto"/>
        <w:jc w:val="center"/>
        <w:rPr>
          <w:rFonts w:ascii="Arial" w:eastAsia="Arial" w:hAnsi="Arial" w:cs="Arial"/>
          <w:color w:val="0A0A0A"/>
        </w:rPr>
      </w:pPr>
    </w:p>
    <w:p w14:paraId="36405DE8" w14:textId="77777777" w:rsidR="008C03AC" w:rsidRDefault="008C03AC">
      <w:pPr>
        <w:spacing w:before="180" w:after="420" w:line="276" w:lineRule="auto"/>
        <w:jc w:val="center"/>
        <w:rPr>
          <w:rFonts w:ascii="Arial" w:eastAsia="Arial" w:hAnsi="Arial" w:cs="Arial"/>
          <w:color w:val="0A0A0A"/>
        </w:rPr>
      </w:pPr>
    </w:p>
    <w:p w14:paraId="5E5F63E6" w14:textId="77777777" w:rsidR="008C03AC" w:rsidRDefault="008C03AC">
      <w:pPr>
        <w:spacing w:before="180" w:after="420" w:line="276" w:lineRule="auto"/>
        <w:jc w:val="center"/>
        <w:rPr>
          <w:rFonts w:ascii="Arial" w:eastAsia="Arial" w:hAnsi="Arial" w:cs="Arial"/>
          <w:color w:val="0A0A0A"/>
        </w:rPr>
      </w:pPr>
    </w:p>
    <w:p w14:paraId="0C88477F" w14:textId="77777777" w:rsidR="008C03AC" w:rsidRDefault="008C03AC">
      <w:pPr>
        <w:spacing w:before="180" w:after="420" w:line="276" w:lineRule="auto"/>
        <w:jc w:val="center"/>
        <w:rPr>
          <w:rFonts w:ascii="Arial" w:eastAsia="Arial" w:hAnsi="Arial" w:cs="Arial"/>
          <w:color w:val="0A0A0A"/>
        </w:rPr>
      </w:pPr>
    </w:p>
    <w:p w14:paraId="632B9DEA" w14:textId="77777777" w:rsidR="008C03AC" w:rsidRDefault="008C03AC">
      <w:pPr>
        <w:spacing w:before="180" w:after="420" w:line="276" w:lineRule="auto"/>
        <w:jc w:val="center"/>
        <w:rPr>
          <w:rFonts w:ascii="Arial" w:eastAsia="Arial" w:hAnsi="Arial" w:cs="Arial"/>
          <w:color w:val="0A0A0A"/>
        </w:rPr>
      </w:pPr>
    </w:p>
    <w:p w14:paraId="1B55FE7D" w14:textId="77777777" w:rsidR="008C03AC" w:rsidRDefault="008C03AC">
      <w:pPr>
        <w:spacing w:before="180" w:after="420" w:line="276" w:lineRule="auto"/>
        <w:jc w:val="center"/>
        <w:rPr>
          <w:rFonts w:ascii="Arial" w:eastAsia="Arial" w:hAnsi="Arial" w:cs="Arial"/>
          <w:color w:val="0A0A0A"/>
        </w:rPr>
      </w:pPr>
    </w:p>
    <w:p w14:paraId="4D10CB24" w14:textId="77777777" w:rsidR="008C03AC" w:rsidRDefault="008C03AC">
      <w:pPr>
        <w:spacing w:before="180" w:after="420" w:line="276" w:lineRule="auto"/>
        <w:jc w:val="center"/>
        <w:rPr>
          <w:rFonts w:ascii="Arial" w:eastAsia="Arial" w:hAnsi="Arial" w:cs="Arial"/>
          <w:color w:val="0A0A0A"/>
        </w:rPr>
      </w:pPr>
    </w:p>
    <w:p w14:paraId="184DF3BB" w14:textId="77777777" w:rsidR="008C03AC" w:rsidRDefault="008C03AC">
      <w:pPr>
        <w:spacing w:before="180" w:after="420" w:line="276" w:lineRule="auto"/>
        <w:jc w:val="center"/>
        <w:rPr>
          <w:rFonts w:ascii="Arial" w:eastAsia="Arial" w:hAnsi="Arial" w:cs="Arial"/>
          <w:color w:val="0A0A0A"/>
        </w:rPr>
      </w:pPr>
    </w:p>
    <w:p w14:paraId="018C03A3" w14:textId="77777777" w:rsidR="008C03AC" w:rsidRDefault="008C03AC">
      <w:pPr>
        <w:spacing w:before="180" w:after="420" w:line="276" w:lineRule="auto"/>
        <w:jc w:val="center"/>
        <w:rPr>
          <w:rFonts w:ascii="Arial" w:eastAsia="Arial" w:hAnsi="Arial" w:cs="Arial"/>
          <w:color w:val="0A0A0A"/>
        </w:rPr>
      </w:pPr>
    </w:p>
    <w:p w14:paraId="73742841" w14:textId="77777777" w:rsidR="008C03AC" w:rsidRDefault="008C03AC">
      <w:pPr>
        <w:spacing w:before="180" w:after="420" w:line="276" w:lineRule="auto"/>
        <w:jc w:val="center"/>
        <w:rPr>
          <w:rFonts w:ascii="Arial" w:eastAsia="Arial" w:hAnsi="Arial" w:cs="Arial"/>
          <w:color w:val="0A0A0A"/>
        </w:rPr>
      </w:pPr>
    </w:p>
    <w:p w14:paraId="4A392D9D" w14:textId="77777777" w:rsidR="008C03AC" w:rsidRDefault="008C03AC">
      <w:pPr>
        <w:spacing w:before="180" w:after="420" w:line="276" w:lineRule="auto"/>
        <w:jc w:val="center"/>
        <w:rPr>
          <w:rFonts w:ascii="Arial" w:eastAsia="Arial" w:hAnsi="Arial" w:cs="Arial"/>
          <w:color w:val="0A0A0A"/>
        </w:rPr>
      </w:pPr>
    </w:p>
    <w:p w14:paraId="0E97C9EA" w14:textId="77777777" w:rsidR="008C03AC" w:rsidRDefault="000375DC">
      <w:pPr>
        <w:spacing w:before="180" w:after="420" w:line="276" w:lineRule="auto"/>
        <w:jc w:val="center"/>
        <w:rPr>
          <w:rFonts w:ascii="Arial" w:eastAsia="Arial" w:hAnsi="Arial" w:cs="Arial"/>
          <w:color w:val="0A0A0A"/>
          <w:sz w:val="18"/>
          <w:szCs w:val="18"/>
        </w:rPr>
      </w:pPr>
      <w:r w:rsidRPr="000442C8">
        <w:rPr>
          <w:rFonts w:ascii="Arial" w:eastAsia="Arial" w:hAnsi="Arial" w:cs="Arial"/>
          <w:color w:val="0A0A0A"/>
          <w:sz w:val="18"/>
          <w:szCs w:val="18"/>
          <w:highlight w:val="white"/>
        </w:rPr>
        <w:t>Fuente: Elaboración propia</w:t>
      </w:r>
    </w:p>
    <w:p w14:paraId="14388629" w14:textId="77777777" w:rsidR="000442C8" w:rsidRPr="000442C8" w:rsidRDefault="000442C8">
      <w:pPr>
        <w:spacing w:before="180" w:after="420" w:line="276" w:lineRule="auto"/>
        <w:jc w:val="center"/>
        <w:rPr>
          <w:rFonts w:ascii="Arial" w:eastAsia="Arial" w:hAnsi="Arial" w:cs="Arial"/>
          <w:color w:val="0A0A0A"/>
          <w:sz w:val="18"/>
          <w:szCs w:val="18"/>
        </w:rPr>
      </w:pPr>
    </w:p>
    <w:p w14:paraId="7029BC5E" w14:textId="77777777" w:rsidR="008C03AC" w:rsidRPr="000442C8" w:rsidRDefault="000375DC" w:rsidP="000442C8">
      <w:pPr>
        <w:pStyle w:val="Ttulo1"/>
        <w:jc w:val="center"/>
        <w:rPr>
          <w:rFonts w:ascii="Arial" w:hAnsi="Arial" w:cs="Arial"/>
          <w:b/>
          <w:bCs/>
          <w:color w:val="000000" w:themeColor="text1"/>
          <w:sz w:val="24"/>
          <w:szCs w:val="24"/>
        </w:rPr>
      </w:pPr>
      <w:bookmarkStart w:id="42" w:name="_Toc232418206"/>
      <w:r w:rsidRPr="000442C8">
        <w:rPr>
          <w:rFonts w:ascii="Arial" w:hAnsi="Arial" w:cs="Arial"/>
          <w:b/>
          <w:bCs/>
          <w:color w:val="000000" w:themeColor="text1"/>
          <w:sz w:val="24"/>
          <w:szCs w:val="24"/>
        </w:rPr>
        <w:lastRenderedPageBreak/>
        <w:t>Capítulo 2.</w:t>
      </w:r>
      <w:bookmarkEnd w:id="42"/>
    </w:p>
    <w:p w14:paraId="0C2C625B" w14:textId="407EB963" w:rsidR="008C03AC" w:rsidRPr="000442C8" w:rsidRDefault="000375DC" w:rsidP="000442C8">
      <w:pPr>
        <w:pStyle w:val="Ttulo1"/>
        <w:jc w:val="center"/>
        <w:rPr>
          <w:rFonts w:ascii="Arial" w:hAnsi="Arial" w:cs="Arial"/>
          <w:b/>
          <w:bCs/>
          <w:color w:val="000000" w:themeColor="text1"/>
          <w:sz w:val="24"/>
          <w:szCs w:val="24"/>
        </w:rPr>
      </w:pPr>
      <w:bookmarkStart w:id="43" w:name="_Toc232418207"/>
      <w:r w:rsidRPr="000442C8">
        <w:rPr>
          <w:rFonts w:ascii="Arial" w:hAnsi="Arial" w:cs="Arial"/>
          <w:b/>
          <w:bCs/>
          <w:color w:val="000000" w:themeColor="text1"/>
          <w:sz w:val="24"/>
          <w:szCs w:val="24"/>
        </w:rPr>
        <w:t>Procedimiento para la Declaratoria de Espacio Público</w:t>
      </w:r>
      <w:bookmarkEnd w:id="43"/>
    </w:p>
    <w:p w14:paraId="1DC5E872" w14:textId="77777777" w:rsidR="008C03AC" w:rsidRDefault="000375DC">
      <w:pPr>
        <w:spacing w:before="180" w:after="420" w:line="276" w:lineRule="auto"/>
        <w:jc w:val="both"/>
        <w:rPr>
          <w:rFonts w:ascii="Arial" w:eastAsia="Arial" w:hAnsi="Arial" w:cs="Arial"/>
          <w:color w:val="000000"/>
        </w:rPr>
      </w:pPr>
      <w:r>
        <w:rPr>
          <w:rFonts w:ascii="Arial" w:eastAsia="Arial" w:hAnsi="Arial" w:cs="Arial"/>
          <w:color w:val="000000"/>
        </w:rPr>
        <w:t>Este capítulo describe el procedimiento completo que deben seguir los municipios para declarar un inmueble como espacio público, desde la verificación inicial del inventario hasta la expedición del acto administrativo, la adquisición del predio y su registro. Su propósito es orientar a las entidades territoriales en la aplicación correcta de la Ley 2044 de 2020, diferenciando las rutas aplicables según el dominio del bien público o privado y asegurando la coherencia entre la información catastral, registral y administrativa.</w:t>
      </w:r>
    </w:p>
    <w:p w14:paraId="4C731768" w14:textId="77777777" w:rsidR="008C03AC" w:rsidRPr="00F51B3B" w:rsidRDefault="000375DC" w:rsidP="00F51B3B">
      <w:pPr>
        <w:pStyle w:val="Ttulo2"/>
        <w:rPr>
          <w:rFonts w:ascii="Arial" w:hAnsi="Arial" w:cs="Arial"/>
          <w:b/>
          <w:bCs/>
          <w:color w:val="000000" w:themeColor="text1"/>
          <w:sz w:val="24"/>
          <w:szCs w:val="24"/>
        </w:rPr>
      </w:pPr>
      <w:r w:rsidRPr="00F51B3B">
        <w:rPr>
          <w:rFonts w:ascii="Arial" w:hAnsi="Arial" w:cs="Arial"/>
          <w:b/>
          <w:bCs/>
          <w:color w:val="000000" w:themeColor="text1"/>
          <w:sz w:val="24"/>
          <w:szCs w:val="24"/>
        </w:rPr>
        <w:t xml:space="preserve"> </w:t>
      </w:r>
      <w:bookmarkStart w:id="44" w:name="_Toc232418208"/>
      <w:r w:rsidRPr="00F51B3B">
        <w:rPr>
          <w:rFonts w:ascii="Arial" w:hAnsi="Arial" w:cs="Arial"/>
          <w:b/>
          <w:bCs/>
          <w:color w:val="000000" w:themeColor="text1"/>
          <w:sz w:val="24"/>
          <w:szCs w:val="24"/>
        </w:rPr>
        <w:t>2.1 Verificación Previa a la Declaratoria del Espacio Público</w:t>
      </w:r>
      <w:bookmarkEnd w:id="44"/>
      <w:r w:rsidRPr="00F51B3B">
        <w:rPr>
          <w:rFonts w:ascii="Arial" w:hAnsi="Arial" w:cs="Arial"/>
          <w:b/>
          <w:bCs/>
          <w:color w:val="000000" w:themeColor="text1"/>
          <w:sz w:val="24"/>
          <w:szCs w:val="24"/>
        </w:rPr>
        <w:t xml:space="preserve"> </w:t>
      </w:r>
    </w:p>
    <w:p w14:paraId="7655E13F" w14:textId="447BF49B" w:rsidR="008C03AC" w:rsidRDefault="000375DC">
      <w:pPr>
        <w:spacing w:before="240" w:after="240" w:line="276" w:lineRule="auto"/>
        <w:jc w:val="both"/>
        <w:rPr>
          <w:rFonts w:ascii="Arial" w:eastAsia="Arial" w:hAnsi="Arial" w:cs="Arial"/>
        </w:rPr>
      </w:pPr>
      <w:r>
        <w:rPr>
          <w:rFonts w:ascii="Arial" w:eastAsia="Arial" w:hAnsi="Arial" w:cs="Arial"/>
        </w:rPr>
        <w:t xml:space="preserve">La verificación previa antes del inicio del trámite de declaratoria de espacio público debe comenzar obligatoriamente con la identificación de los bienes de uso público y de los bienes afectos al uso público, así como con su incorporación al inventario inmobiliario </w:t>
      </w:r>
      <w:r w:rsidR="000442C8">
        <w:rPr>
          <w:rFonts w:ascii="Arial" w:eastAsia="Arial" w:hAnsi="Arial" w:cs="Arial"/>
        </w:rPr>
        <w:t>municipal.</w:t>
      </w:r>
      <w:r>
        <w:rPr>
          <w:rFonts w:ascii="Arial" w:eastAsia="Arial" w:hAnsi="Arial" w:cs="Arial"/>
        </w:rPr>
        <w:t xml:space="preserve"> </w:t>
      </w:r>
    </w:p>
    <w:p w14:paraId="57AF2060" w14:textId="77777777" w:rsidR="008C03AC" w:rsidRDefault="000375DC">
      <w:pPr>
        <w:spacing w:before="240" w:after="240" w:line="276" w:lineRule="auto"/>
        <w:jc w:val="both"/>
        <w:rPr>
          <w:rFonts w:ascii="Arial" w:eastAsia="Arial" w:hAnsi="Arial" w:cs="Arial"/>
        </w:rPr>
      </w:pPr>
      <w:r>
        <w:rPr>
          <w:rFonts w:ascii="Arial" w:eastAsia="Arial" w:hAnsi="Arial" w:cs="Arial"/>
        </w:rPr>
        <w:t xml:space="preserve">En ese sentido, en cumplimiento del artículo 5º de la Ley 2044 de 2020, los municipios deben elaborar y mantener actualizado un </w:t>
      </w:r>
      <w:r w:rsidRPr="004578F0">
        <w:rPr>
          <w:rFonts w:ascii="Arial" w:eastAsia="Arial" w:hAnsi="Arial" w:cs="Arial"/>
        </w:rPr>
        <w:t>inventario de bienes de uso público</w:t>
      </w:r>
      <w:r>
        <w:rPr>
          <w:rFonts w:ascii="Arial" w:eastAsia="Arial" w:hAnsi="Arial" w:cs="Arial"/>
        </w:rPr>
        <w:t xml:space="preserve"> entre los que están:</w:t>
      </w:r>
    </w:p>
    <w:p w14:paraId="7479F1B1" w14:textId="77777777" w:rsidR="008C03AC" w:rsidRDefault="000375DC" w:rsidP="004578F0">
      <w:pPr>
        <w:numPr>
          <w:ilvl w:val="0"/>
          <w:numId w:val="11"/>
        </w:numPr>
        <w:pBdr>
          <w:top w:val="nil"/>
          <w:left w:val="nil"/>
          <w:bottom w:val="nil"/>
          <w:right w:val="nil"/>
          <w:between w:val="nil"/>
        </w:pBdr>
        <w:spacing w:before="240" w:after="0" w:line="276" w:lineRule="auto"/>
        <w:jc w:val="both"/>
        <w:rPr>
          <w:rFonts w:ascii="Arial" w:eastAsia="Arial" w:hAnsi="Arial" w:cs="Arial"/>
          <w:color w:val="000000"/>
        </w:rPr>
      </w:pPr>
      <w:r>
        <w:rPr>
          <w:rFonts w:ascii="Arial" w:eastAsia="Arial" w:hAnsi="Arial" w:cs="Arial"/>
          <w:color w:val="000000"/>
        </w:rPr>
        <w:t xml:space="preserve">Bienes reconocidos formalmente mediante actos administrativos </w:t>
      </w:r>
    </w:p>
    <w:p w14:paraId="053A05F2" w14:textId="77777777" w:rsidR="008C03AC" w:rsidRDefault="000375DC" w:rsidP="004578F0">
      <w:pPr>
        <w:numPr>
          <w:ilvl w:val="0"/>
          <w:numId w:val="11"/>
        </w:numPr>
        <w:spacing w:after="0" w:line="276" w:lineRule="auto"/>
        <w:jc w:val="both"/>
        <w:rPr>
          <w:rFonts w:ascii="Arial" w:eastAsia="Arial" w:hAnsi="Arial" w:cs="Arial"/>
        </w:rPr>
      </w:pPr>
      <w:r>
        <w:rPr>
          <w:rFonts w:ascii="Arial" w:eastAsia="Arial" w:hAnsi="Arial" w:cs="Arial"/>
        </w:rPr>
        <w:t>Bienes que han sido utilizados como espacio por más de 20 años o más, aunque no estén titulados o no se conozca el propietario</w:t>
      </w:r>
    </w:p>
    <w:p w14:paraId="1E02C518" w14:textId="77777777" w:rsidR="008C03AC" w:rsidRDefault="000375DC" w:rsidP="004578F0">
      <w:pPr>
        <w:numPr>
          <w:ilvl w:val="0"/>
          <w:numId w:val="11"/>
        </w:numPr>
        <w:spacing w:after="240" w:line="276" w:lineRule="auto"/>
        <w:jc w:val="both"/>
        <w:rPr>
          <w:rFonts w:ascii="Arial" w:eastAsia="Arial" w:hAnsi="Arial" w:cs="Arial"/>
        </w:rPr>
      </w:pPr>
      <w:r>
        <w:rPr>
          <w:rFonts w:ascii="Arial" w:eastAsia="Arial" w:hAnsi="Arial" w:cs="Arial"/>
        </w:rPr>
        <w:t>Bienes generados por procesos de legalización de asentamientos humanos ilegales</w:t>
      </w:r>
      <w:r>
        <w:rPr>
          <w:rFonts w:ascii="Arial" w:eastAsia="Arial" w:hAnsi="Arial" w:cs="Arial"/>
          <w:vertAlign w:val="superscript"/>
        </w:rPr>
        <w:footnoteReference w:id="1"/>
      </w:r>
      <w:r>
        <w:rPr>
          <w:rFonts w:ascii="Arial" w:eastAsia="Arial" w:hAnsi="Arial" w:cs="Arial"/>
        </w:rPr>
        <w:t>.</w:t>
      </w:r>
    </w:p>
    <w:p w14:paraId="6B4FFBB0" w14:textId="77777777" w:rsidR="008C03AC" w:rsidRDefault="008C03AC">
      <w:pPr>
        <w:spacing w:after="240" w:line="276" w:lineRule="auto"/>
        <w:jc w:val="both"/>
        <w:rPr>
          <w:rFonts w:ascii="Arial" w:eastAsia="Arial" w:hAnsi="Arial" w:cs="Arial"/>
        </w:rPr>
      </w:pPr>
    </w:p>
    <w:p w14:paraId="76778433" w14:textId="77777777" w:rsidR="008C03AC" w:rsidRDefault="008C03AC">
      <w:pPr>
        <w:spacing w:after="240" w:line="276" w:lineRule="auto"/>
        <w:jc w:val="both"/>
        <w:rPr>
          <w:rFonts w:ascii="Arial" w:eastAsia="Arial" w:hAnsi="Arial" w:cs="Arial"/>
        </w:rPr>
      </w:pPr>
    </w:p>
    <w:p w14:paraId="61996E8D" w14:textId="77777777" w:rsidR="004578F0" w:rsidRDefault="004578F0">
      <w:pPr>
        <w:spacing w:after="240" w:line="276" w:lineRule="auto"/>
        <w:jc w:val="both"/>
        <w:rPr>
          <w:rFonts w:ascii="Arial" w:eastAsia="Arial" w:hAnsi="Arial" w:cs="Arial"/>
        </w:rPr>
      </w:pPr>
    </w:p>
    <w:p w14:paraId="49F6BA9A" w14:textId="77777777" w:rsidR="008C03AC" w:rsidRDefault="008C03AC">
      <w:pPr>
        <w:spacing w:after="240" w:line="276" w:lineRule="auto"/>
        <w:ind w:left="720"/>
        <w:jc w:val="both"/>
        <w:rPr>
          <w:rFonts w:ascii="Arial" w:eastAsia="Arial" w:hAnsi="Arial" w:cs="Arial"/>
        </w:rPr>
      </w:pPr>
    </w:p>
    <w:tbl>
      <w:tblPr>
        <w:tblStyle w:val="a"/>
        <w:tblpPr w:leftFromText="141" w:rightFromText="141" w:vertAnchor="page" w:horzAnchor="margin" w:tblpY="2744"/>
        <w:tblW w:w="8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80"/>
      </w:tblGrid>
      <w:tr w:rsidR="008C03AC" w14:paraId="74F9FDAD" w14:textId="77777777" w:rsidTr="004578F0">
        <w:trPr>
          <w:trHeight w:val="3183"/>
        </w:trPr>
        <w:tc>
          <w:tcPr>
            <w:tcW w:w="8680" w:type="dxa"/>
            <w:tcMar>
              <w:top w:w="100" w:type="dxa"/>
              <w:left w:w="100" w:type="dxa"/>
              <w:bottom w:w="100" w:type="dxa"/>
              <w:right w:w="100" w:type="dxa"/>
            </w:tcMar>
          </w:tcPr>
          <w:p w14:paraId="196183E8" w14:textId="77777777" w:rsidR="008C03AC" w:rsidRDefault="000375DC" w:rsidP="004578F0">
            <w:pPr>
              <w:spacing w:before="240" w:after="240" w:line="276" w:lineRule="auto"/>
              <w:jc w:val="both"/>
              <w:rPr>
                <w:rFonts w:ascii="Arial" w:eastAsia="Arial" w:hAnsi="Arial" w:cs="Arial"/>
              </w:rPr>
            </w:pPr>
            <w:r>
              <w:rPr>
                <w:rFonts w:ascii="Arial" w:eastAsia="Arial" w:hAnsi="Arial" w:cs="Arial"/>
                <w:b/>
                <w:bCs/>
              </w:rPr>
              <w:t>Importante:</w:t>
            </w:r>
            <w:r>
              <w:rPr>
                <w:rFonts w:ascii="Arial" w:eastAsia="Arial" w:hAnsi="Arial" w:cs="Arial"/>
              </w:rPr>
              <w:t xml:space="preserve"> Antes de iniciar el trámite de declaratoria de espacio público, los municipios deben contar con la identificación de los bienes de uso público conforme a lo establecido en la Cartilla No. 1 “</w:t>
            </w:r>
            <w:r>
              <w:rPr>
                <w:rFonts w:ascii="Arial" w:eastAsia="Arial" w:hAnsi="Arial" w:cs="Arial"/>
                <w:i/>
                <w:iCs/>
              </w:rPr>
              <w:t>Conformación del inventario municipal de inmuebles y asignación de rutas para su saneamiento</w:t>
            </w:r>
            <w:proofErr w:type="gramStart"/>
            <w:r>
              <w:rPr>
                <w:rFonts w:ascii="Arial" w:eastAsia="Arial" w:hAnsi="Arial" w:cs="Arial"/>
              </w:rPr>
              <w:t>”,  para</w:t>
            </w:r>
            <w:proofErr w:type="gramEnd"/>
            <w:r>
              <w:rPr>
                <w:rFonts w:ascii="Arial" w:eastAsia="Arial" w:hAnsi="Arial" w:cs="Arial"/>
              </w:rPr>
              <w:t xml:space="preserve"> ello, se debe partir del conjunto de predios clasificados como bienes de uso público localizados en suelo urbano. En particular, se deberán seleccionar los predios del inventario que cumplan con estas condiciones:</w:t>
            </w:r>
          </w:p>
          <w:p w14:paraId="4D0E2C94" w14:textId="77777777" w:rsidR="008C03AC" w:rsidRDefault="000375DC" w:rsidP="004578F0">
            <w:pPr>
              <w:numPr>
                <w:ilvl w:val="0"/>
                <w:numId w:val="13"/>
              </w:numPr>
              <w:spacing w:before="240" w:after="0" w:line="276" w:lineRule="auto"/>
              <w:jc w:val="both"/>
              <w:rPr>
                <w:rFonts w:ascii="Arial Narrow" w:eastAsia="Arial Narrow" w:hAnsi="Arial Narrow" w:cs="Arial Narrow"/>
              </w:rPr>
            </w:pPr>
            <w:r>
              <w:rPr>
                <w:rFonts w:ascii="Arial" w:eastAsia="Arial" w:hAnsi="Arial" w:cs="Arial"/>
                <w:b/>
                <w:bCs/>
              </w:rPr>
              <w:t>Tipo_</w:t>
            </w:r>
            <w:proofErr w:type="gramStart"/>
            <w:r>
              <w:rPr>
                <w:rFonts w:ascii="Arial" w:eastAsia="Arial" w:hAnsi="Arial" w:cs="Arial"/>
                <w:b/>
                <w:bCs/>
              </w:rPr>
              <w:t>Bien:</w:t>
            </w:r>
            <w:r>
              <w:rPr>
                <w:rFonts w:ascii="Arial" w:eastAsia="Arial" w:hAnsi="Arial" w:cs="Arial"/>
              </w:rPr>
              <w:t>“</w:t>
            </w:r>
            <w:proofErr w:type="spellStart"/>
            <w:proofErr w:type="gramEnd"/>
            <w:r>
              <w:rPr>
                <w:rFonts w:ascii="Arial" w:eastAsia="Arial" w:hAnsi="Arial" w:cs="Arial"/>
              </w:rPr>
              <w:t>Uso_Público</w:t>
            </w:r>
            <w:proofErr w:type="spellEnd"/>
            <w:r>
              <w:rPr>
                <w:rFonts w:ascii="Arial" w:eastAsia="Arial" w:hAnsi="Arial" w:cs="Arial"/>
              </w:rPr>
              <w:t>”</w:t>
            </w:r>
            <w:r>
              <w:rPr>
                <w:rFonts w:ascii="Arial" w:eastAsia="Arial" w:hAnsi="Arial" w:cs="Arial"/>
              </w:rPr>
              <w:br/>
            </w:r>
          </w:p>
          <w:p w14:paraId="33D106AE" w14:textId="77777777" w:rsidR="008C03AC" w:rsidRDefault="000375DC" w:rsidP="004578F0">
            <w:pPr>
              <w:numPr>
                <w:ilvl w:val="0"/>
                <w:numId w:val="13"/>
              </w:numPr>
              <w:spacing w:after="240" w:line="276" w:lineRule="auto"/>
              <w:jc w:val="both"/>
              <w:rPr>
                <w:rFonts w:ascii="Arial Narrow" w:eastAsia="Arial Narrow" w:hAnsi="Arial Narrow" w:cs="Arial Narrow"/>
              </w:rPr>
            </w:pPr>
            <w:proofErr w:type="spellStart"/>
            <w:r>
              <w:rPr>
                <w:rFonts w:ascii="Arial" w:eastAsia="Arial" w:hAnsi="Arial" w:cs="Arial"/>
                <w:b/>
                <w:bCs/>
              </w:rPr>
              <w:t>Clasificación_Suelo</w:t>
            </w:r>
            <w:proofErr w:type="spellEnd"/>
            <w:r>
              <w:rPr>
                <w:rFonts w:ascii="Arial" w:eastAsia="Arial" w:hAnsi="Arial" w:cs="Arial"/>
                <w:b/>
                <w:bCs/>
              </w:rPr>
              <w:t>:</w:t>
            </w:r>
            <w:r>
              <w:rPr>
                <w:rFonts w:ascii="Arial" w:eastAsia="Arial" w:hAnsi="Arial" w:cs="Arial"/>
              </w:rPr>
              <w:t xml:space="preserve"> “Urbano”</w:t>
            </w:r>
          </w:p>
        </w:tc>
      </w:tr>
    </w:tbl>
    <w:p w14:paraId="3585C617" w14:textId="77777777" w:rsidR="008C03AC" w:rsidRDefault="000375DC">
      <w:pPr>
        <w:spacing w:before="240" w:after="240" w:line="276" w:lineRule="auto"/>
        <w:jc w:val="both"/>
        <w:rPr>
          <w:rFonts w:ascii="Arial" w:eastAsia="Arial" w:hAnsi="Arial" w:cs="Arial"/>
          <w:highlight w:val="yellow"/>
        </w:rPr>
      </w:pPr>
      <w:r>
        <w:rPr>
          <w:rFonts w:ascii="Arial" w:eastAsia="Arial" w:hAnsi="Arial" w:cs="Arial"/>
        </w:rPr>
        <w:t xml:space="preserve">Una vez los municipios hayan elaborado o actualizado el inventario municipal y tengan caracterizados los predios, deberán proceder con el trámite de declaratoria de espacio público, cuyo procedimiento varía según se trate de un bien público o de un bien privado, de conformidad con lo dispuesto en la Ley 2044 de 2020. </w:t>
      </w:r>
    </w:p>
    <w:p w14:paraId="680D3E17" w14:textId="77777777" w:rsidR="008C03AC" w:rsidRDefault="000375DC">
      <w:pPr>
        <w:spacing w:before="240" w:after="240" w:line="276" w:lineRule="auto"/>
        <w:jc w:val="both"/>
        <w:rPr>
          <w:rFonts w:ascii="Arial" w:eastAsia="Arial" w:hAnsi="Arial" w:cs="Arial"/>
        </w:rPr>
      </w:pPr>
      <w:r>
        <w:rPr>
          <w:rFonts w:ascii="Arial" w:eastAsia="Arial" w:hAnsi="Arial" w:cs="Arial"/>
        </w:rPr>
        <w:t>Cuando se trata de bienes de dominio privado, los municipios deben seguir primero los pasos de la Ley 2044 de 2020, incluyendo la oferta formal de compra y la negociación directa con el propietario. Si no se alcanza un acuerdo, se puede recurrir a la expropiación administrativa, respetando los principios de necesidad, proporcionalidad y debido proceso. La cartilla detalla el procedimiento y las acciones que deben seguir según la titularidad del bien.</w:t>
      </w:r>
    </w:p>
    <w:p w14:paraId="5F13DB1C" w14:textId="77777777" w:rsidR="008C03AC" w:rsidRDefault="008C03AC">
      <w:pPr>
        <w:spacing w:before="240" w:after="240" w:line="276" w:lineRule="auto"/>
        <w:jc w:val="both"/>
        <w:rPr>
          <w:rFonts w:ascii="Arial" w:eastAsia="Arial" w:hAnsi="Arial" w:cs="Arial"/>
        </w:rPr>
      </w:pPr>
    </w:p>
    <w:tbl>
      <w:tblPr>
        <w:tblStyle w:val="a0"/>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4D76AEB5" w14:textId="77777777">
        <w:trPr>
          <w:trHeight w:val="3136"/>
        </w:trPr>
        <w:tc>
          <w:tcPr>
            <w:tcW w:w="8838" w:type="dxa"/>
            <w:tcMar>
              <w:top w:w="100" w:type="dxa"/>
              <w:left w:w="100" w:type="dxa"/>
              <w:bottom w:w="100" w:type="dxa"/>
              <w:right w:w="100" w:type="dxa"/>
            </w:tcMar>
          </w:tcPr>
          <w:sdt>
            <w:sdtPr>
              <w:tag w:val="goog_rdk_0"/>
              <w:id w:val="-785370647"/>
              <w:lock w:val="contentLocked"/>
            </w:sdtPr>
            <w:sdtContent>
              <w:p w14:paraId="17C9AA73" w14:textId="77777777" w:rsidR="008C03AC" w:rsidRDefault="000375DC">
                <w:pPr>
                  <w:spacing w:before="240" w:after="240" w:line="276" w:lineRule="auto"/>
                  <w:jc w:val="both"/>
                  <w:rPr>
                    <w:rFonts w:ascii="Arial" w:eastAsia="Arial" w:hAnsi="Arial" w:cs="Arial"/>
                  </w:rPr>
                </w:pPr>
                <w:r>
                  <w:rPr>
                    <w:rFonts w:ascii="Arial" w:eastAsia="Arial" w:hAnsi="Arial" w:cs="Arial"/>
                  </w:rPr>
                  <w:t xml:space="preserve">El artículo 5 de la Ley 2044 de 2020 estableció la obligación a los municipios de levantar un inventario de los bienes de uso público y bienes afectos al uso público producto de la legalización de asentamientos humanos ilegales, que se encuentren señalados en actos administrativos o que por 20 años o más se han considerado como espacio público, independiente de quien ostente la titularidad del derecho real de dominio. </w:t>
                </w:r>
              </w:p>
              <w:p w14:paraId="2E9CB91F" w14:textId="77777777" w:rsidR="008C03AC" w:rsidRDefault="000375DC">
                <w:pPr>
                  <w:spacing w:before="240" w:after="240" w:line="276" w:lineRule="auto"/>
                  <w:jc w:val="both"/>
                  <w:rPr>
                    <w:rFonts w:ascii="Arial" w:eastAsia="Arial" w:hAnsi="Arial" w:cs="Arial"/>
                  </w:rPr>
                </w:pPr>
                <w:r>
                  <w:rPr>
                    <w:rFonts w:ascii="Arial" w:eastAsia="Arial" w:hAnsi="Arial" w:cs="Arial"/>
                  </w:rPr>
                  <w:t>En los casos en que los predios no lleven más de 20 años el municipio deberá evaluar su procedencia a través de las rutas de cesión urbanística (Art. 20 ley 2044 de 2020), adquisición de predios por enajenación voluntaria/expropiación, o transferencia interinstitucional, según los antecedentes del inmueble. (Cartilla No. 2 y 5)</w:t>
                </w:r>
              </w:p>
            </w:sdtContent>
          </w:sdt>
        </w:tc>
      </w:tr>
    </w:tbl>
    <w:p w14:paraId="5D19246D" w14:textId="77777777" w:rsidR="008C03AC" w:rsidRDefault="008C03AC">
      <w:pPr>
        <w:spacing w:before="240" w:after="240" w:line="276" w:lineRule="auto"/>
        <w:jc w:val="both"/>
        <w:rPr>
          <w:rFonts w:ascii="Arial" w:eastAsia="Arial" w:hAnsi="Arial" w:cs="Arial"/>
        </w:rPr>
      </w:pPr>
    </w:p>
    <w:p w14:paraId="28975F29" w14:textId="77777777" w:rsidR="008C03AC" w:rsidRPr="00F51B3B" w:rsidRDefault="000375DC" w:rsidP="00F51B3B">
      <w:pPr>
        <w:pStyle w:val="Ttulo2"/>
        <w:rPr>
          <w:rFonts w:ascii="Arial" w:hAnsi="Arial" w:cs="Arial"/>
          <w:b/>
          <w:bCs/>
          <w:color w:val="000000" w:themeColor="text1"/>
          <w:sz w:val="24"/>
          <w:szCs w:val="24"/>
        </w:rPr>
      </w:pPr>
      <w:bookmarkStart w:id="45" w:name="_heading=h.u2d3diul1yeo" w:colFirst="0" w:colLast="0"/>
      <w:bookmarkStart w:id="46" w:name="_Toc232418209"/>
      <w:bookmarkEnd w:id="45"/>
      <w:r w:rsidRPr="00F51B3B">
        <w:rPr>
          <w:rFonts w:ascii="Arial" w:hAnsi="Arial" w:cs="Arial"/>
          <w:b/>
          <w:bCs/>
          <w:color w:val="000000" w:themeColor="text1"/>
          <w:sz w:val="24"/>
          <w:szCs w:val="24"/>
        </w:rPr>
        <w:t>2.2 Declaratoria de espacio público en predios de dominio privado y dominio público</w:t>
      </w:r>
      <w:bookmarkEnd w:id="46"/>
    </w:p>
    <w:p w14:paraId="522A8182" w14:textId="77777777" w:rsidR="008C03AC" w:rsidRDefault="008C03AC">
      <w:pPr>
        <w:spacing w:after="0" w:line="276" w:lineRule="auto"/>
        <w:jc w:val="both"/>
        <w:rPr>
          <w:rFonts w:ascii="Arial" w:eastAsia="Arial" w:hAnsi="Arial" w:cs="Arial"/>
        </w:rPr>
      </w:pPr>
    </w:p>
    <w:p w14:paraId="43B73B5B" w14:textId="426C0ECC" w:rsidR="008C03AC" w:rsidRDefault="000375DC">
      <w:pPr>
        <w:spacing w:after="0" w:line="276" w:lineRule="auto"/>
        <w:jc w:val="both"/>
        <w:rPr>
          <w:rFonts w:ascii="Arial" w:eastAsia="Arial" w:hAnsi="Arial" w:cs="Arial"/>
        </w:rPr>
      </w:pPr>
      <w:r>
        <w:rPr>
          <w:rFonts w:ascii="Arial" w:eastAsia="Arial" w:hAnsi="Arial" w:cs="Arial"/>
        </w:rPr>
        <w:t xml:space="preserve">Los municipios pueden </w:t>
      </w:r>
      <w:r w:rsidR="004578F0">
        <w:rPr>
          <w:rFonts w:ascii="Arial" w:eastAsia="Arial" w:hAnsi="Arial" w:cs="Arial"/>
        </w:rPr>
        <w:t>declarar</w:t>
      </w:r>
      <w:r>
        <w:rPr>
          <w:rFonts w:ascii="Arial" w:eastAsia="Arial" w:hAnsi="Arial" w:cs="Arial"/>
        </w:rPr>
        <w:t xml:space="preserve"> espacio público tanto predios de dominio privado como inmuebles que ya hacen parte de su patrimonio, como los baldíos urbanos y los bienes fiscales patrimoniales. </w:t>
      </w:r>
    </w:p>
    <w:p w14:paraId="676CF7CF" w14:textId="77777777" w:rsidR="008C03AC" w:rsidRDefault="008C03AC">
      <w:pPr>
        <w:spacing w:after="0" w:line="276" w:lineRule="auto"/>
        <w:jc w:val="both"/>
        <w:rPr>
          <w:rFonts w:ascii="Arial" w:eastAsia="Arial" w:hAnsi="Arial" w:cs="Arial"/>
        </w:rPr>
      </w:pPr>
    </w:p>
    <w:p w14:paraId="5A6BB3AA" w14:textId="77777777" w:rsidR="008C03AC" w:rsidRDefault="000375DC">
      <w:pPr>
        <w:spacing w:after="0" w:line="276" w:lineRule="auto"/>
        <w:jc w:val="both"/>
        <w:rPr>
          <w:rFonts w:ascii="Arial" w:eastAsia="Arial" w:hAnsi="Arial" w:cs="Arial"/>
        </w:rPr>
      </w:pPr>
      <w:r>
        <w:rPr>
          <w:rFonts w:ascii="Arial" w:eastAsia="Arial" w:hAnsi="Arial" w:cs="Arial"/>
        </w:rPr>
        <w:t>En términos generales, el procedimiento aplicable es el mismo previsto en la Ley 2044 de 2020 para la declaratoria de espacio público, siguiendo las etapas y requisitos allí establecidos; sin embargo, cuando se trata de bienes de dominio público o de propiedad municipal, no es necesario adelantar aquellas actuaciones orientadas a la adquisición o transferencia del dominio, por cuanto la entidad territorial ya ostenta la titularidad del inmueble, limitándose el trámite a las actuaciones necesarias para formalizar su destinación como espacio público.</w:t>
      </w:r>
    </w:p>
    <w:p w14:paraId="70D85713" w14:textId="77777777" w:rsidR="008C03AC" w:rsidRDefault="008C03AC">
      <w:pPr>
        <w:spacing w:after="0" w:line="276" w:lineRule="auto"/>
        <w:jc w:val="both"/>
        <w:rPr>
          <w:rFonts w:ascii="Arial" w:eastAsia="Arial" w:hAnsi="Arial" w:cs="Arial"/>
        </w:rPr>
      </w:pPr>
    </w:p>
    <w:p w14:paraId="36915755" w14:textId="6C11328C" w:rsidR="008C03AC" w:rsidRDefault="000375DC">
      <w:pPr>
        <w:spacing w:after="0" w:line="276" w:lineRule="auto"/>
        <w:jc w:val="both"/>
        <w:rPr>
          <w:rFonts w:ascii="Arial" w:eastAsia="Arial" w:hAnsi="Arial" w:cs="Arial"/>
        </w:rPr>
      </w:pPr>
      <w:r>
        <w:rPr>
          <w:rFonts w:ascii="Arial" w:eastAsia="Arial" w:hAnsi="Arial" w:cs="Arial"/>
        </w:rPr>
        <w:t xml:space="preserve">A </w:t>
      </w:r>
      <w:r w:rsidR="004578F0">
        <w:rPr>
          <w:rFonts w:ascii="Arial" w:eastAsia="Arial" w:hAnsi="Arial" w:cs="Arial"/>
        </w:rPr>
        <w:t>continuación,</w:t>
      </w:r>
      <w:r>
        <w:rPr>
          <w:rFonts w:ascii="Arial" w:eastAsia="Arial" w:hAnsi="Arial" w:cs="Arial"/>
        </w:rPr>
        <w:t xml:space="preserve"> detallaremos los pasos que se debe seguir por el municipio y se dejará constancia de los pasos que pueden omitirse cuando el bien ya tiene un dominio público.</w:t>
      </w:r>
    </w:p>
    <w:p w14:paraId="00D03338" w14:textId="77777777" w:rsidR="008C03AC" w:rsidRDefault="008C03AC">
      <w:pPr>
        <w:spacing w:line="276" w:lineRule="auto"/>
        <w:rPr>
          <w:rFonts w:ascii="Arial" w:eastAsia="Arial" w:hAnsi="Arial" w:cs="Arial"/>
        </w:rPr>
      </w:pPr>
    </w:p>
    <w:p w14:paraId="4E49AEEE" w14:textId="46E65541" w:rsidR="008C03AC" w:rsidRPr="000C6570" w:rsidRDefault="000C6570" w:rsidP="000C6570">
      <w:pPr>
        <w:pStyle w:val="Descripcin"/>
        <w:jc w:val="center"/>
        <w:rPr>
          <w:rFonts w:ascii="Arial" w:eastAsia="Arial" w:hAnsi="Arial" w:cs="Arial"/>
          <w:b/>
          <w:bCs/>
          <w:i w:val="0"/>
          <w:iCs w:val="0"/>
          <w:color w:val="000000" w:themeColor="text1"/>
          <w:sz w:val="24"/>
          <w:szCs w:val="24"/>
        </w:rPr>
      </w:pPr>
      <w:bookmarkStart w:id="47" w:name="_Toc232418224"/>
      <w:r w:rsidRPr="000C6570">
        <w:rPr>
          <w:rFonts w:ascii="Arial" w:hAnsi="Arial" w:cs="Arial"/>
          <w:b/>
          <w:bCs/>
          <w:i w:val="0"/>
          <w:iCs w:val="0"/>
          <w:color w:val="000000" w:themeColor="text1"/>
          <w:sz w:val="24"/>
          <w:szCs w:val="24"/>
        </w:rPr>
        <w:lastRenderedPageBreak/>
        <w:t xml:space="preserve">Gráfica </w:t>
      </w:r>
      <w:r w:rsidRPr="000C6570">
        <w:rPr>
          <w:rFonts w:ascii="Arial" w:hAnsi="Arial" w:cs="Arial"/>
          <w:b/>
          <w:bCs/>
          <w:i w:val="0"/>
          <w:iCs w:val="0"/>
          <w:color w:val="000000" w:themeColor="text1"/>
          <w:sz w:val="24"/>
          <w:szCs w:val="24"/>
        </w:rPr>
        <w:fldChar w:fldCharType="begin"/>
      </w:r>
      <w:r w:rsidRPr="000C6570">
        <w:rPr>
          <w:rFonts w:ascii="Arial" w:hAnsi="Arial" w:cs="Arial"/>
          <w:b/>
          <w:bCs/>
          <w:i w:val="0"/>
          <w:iCs w:val="0"/>
          <w:color w:val="000000" w:themeColor="text1"/>
          <w:sz w:val="24"/>
          <w:szCs w:val="24"/>
        </w:rPr>
        <w:instrText xml:space="preserve"> SEQ Gráfica \* ARABIC </w:instrText>
      </w:r>
      <w:r w:rsidRPr="000C6570">
        <w:rPr>
          <w:rFonts w:ascii="Arial" w:hAnsi="Arial" w:cs="Arial"/>
          <w:b/>
          <w:bCs/>
          <w:i w:val="0"/>
          <w:iCs w:val="0"/>
          <w:color w:val="000000" w:themeColor="text1"/>
          <w:sz w:val="24"/>
          <w:szCs w:val="24"/>
        </w:rPr>
        <w:fldChar w:fldCharType="separate"/>
      </w:r>
      <w:r w:rsidR="007733E7">
        <w:rPr>
          <w:rFonts w:ascii="Arial" w:hAnsi="Arial" w:cs="Arial"/>
          <w:b/>
          <w:bCs/>
          <w:i w:val="0"/>
          <w:iCs w:val="0"/>
          <w:noProof/>
          <w:color w:val="000000" w:themeColor="text1"/>
          <w:sz w:val="24"/>
          <w:szCs w:val="24"/>
        </w:rPr>
        <w:t>3</w:t>
      </w:r>
      <w:r w:rsidRPr="000C6570">
        <w:rPr>
          <w:rFonts w:ascii="Arial" w:hAnsi="Arial" w:cs="Arial"/>
          <w:b/>
          <w:bCs/>
          <w:i w:val="0"/>
          <w:iCs w:val="0"/>
          <w:color w:val="000000" w:themeColor="text1"/>
          <w:sz w:val="24"/>
          <w:szCs w:val="24"/>
        </w:rPr>
        <w:fldChar w:fldCharType="end"/>
      </w:r>
      <w:r w:rsidRPr="000C6570">
        <w:rPr>
          <w:rFonts w:ascii="Arial" w:hAnsi="Arial" w:cs="Arial"/>
          <w:b/>
          <w:bCs/>
          <w:i w:val="0"/>
          <w:iCs w:val="0"/>
          <w:color w:val="000000" w:themeColor="text1"/>
          <w:sz w:val="24"/>
          <w:szCs w:val="24"/>
        </w:rPr>
        <w:t>. Pasos procedimiento de declaratoria de espacio público</w:t>
      </w:r>
      <w:bookmarkEnd w:id="47"/>
    </w:p>
    <w:p w14:paraId="7BC8B427" w14:textId="77777777" w:rsidR="008C03AC" w:rsidRDefault="000375DC">
      <w:pPr>
        <w:spacing w:line="276" w:lineRule="auto"/>
        <w:rPr>
          <w:rFonts w:ascii="Arial" w:eastAsia="Arial" w:hAnsi="Arial" w:cs="Arial"/>
        </w:rPr>
      </w:pPr>
      <w:r>
        <w:rPr>
          <w:rFonts w:ascii="Arial" w:eastAsia="Arial" w:hAnsi="Arial" w:cs="Arial"/>
          <w:noProof/>
        </w:rPr>
        <w:drawing>
          <wp:inline distT="114300" distB="114300" distL="114300" distR="114300" wp14:anchorId="31007A85" wp14:editId="4FC408F0">
            <wp:extent cx="5610225" cy="1899557"/>
            <wp:effectExtent l="0" t="0" r="0" b="5715"/>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t="23477" b="26900"/>
                    <a:stretch>
                      <a:fillRect/>
                    </a:stretch>
                  </pic:blipFill>
                  <pic:spPr>
                    <a:xfrm>
                      <a:off x="0" y="0"/>
                      <a:ext cx="5622111" cy="1903582"/>
                    </a:xfrm>
                    <a:prstGeom prst="rect">
                      <a:avLst/>
                    </a:prstGeom>
                    <a:ln/>
                  </pic:spPr>
                </pic:pic>
              </a:graphicData>
            </a:graphic>
          </wp:inline>
        </w:drawing>
      </w:r>
    </w:p>
    <w:p w14:paraId="5DB443B6" w14:textId="77777777" w:rsidR="008C03AC" w:rsidRPr="000C6570" w:rsidRDefault="000375DC">
      <w:pPr>
        <w:spacing w:after="0" w:line="276" w:lineRule="auto"/>
        <w:jc w:val="center"/>
        <w:rPr>
          <w:rFonts w:ascii="Arial" w:eastAsia="Arial" w:hAnsi="Arial" w:cs="Arial"/>
          <w:b/>
          <w:bCs/>
          <w:color w:val="000000"/>
          <w:sz w:val="18"/>
          <w:szCs w:val="18"/>
        </w:rPr>
      </w:pPr>
      <w:r w:rsidRPr="000C6570">
        <w:rPr>
          <w:rFonts w:ascii="Arial" w:eastAsia="Arial" w:hAnsi="Arial" w:cs="Arial"/>
          <w:sz w:val="18"/>
          <w:szCs w:val="18"/>
        </w:rPr>
        <w:t>Fuente: elaboración propia</w:t>
      </w:r>
    </w:p>
    <w:p w14:paraId="67968D95" w14:textId="4A92E07B" w:rsidR="008C03AC" w:rsidRPr="00F51B3B" w:rsidRDefault="00172913" w:rsidP="00F51B3B">
      <w:pPr>
        <w:pStyle w:val="Ttulo2"/>
        <w:rPr>
          <w:rFonts w:ascii="Arial" w:hAnsi="Arial" w:cs="Arial"/>
          <w:b/>
          <w:bCs/>
          <w:color w:val="000000" w:themeColor="text1"/>
          <w:sz w:val="24"/>
          <w:szCs w:val="24"/>
        </w:rPr>
      </w:pPr>
      <w:bookmarkStart w:id="48" w:name="_heading=h.fjlua8vnczpf" w:colFirst="0" w:colLast="0"/>
      <w:bookmarkStart w:id="49" w:name="_Toc232418210"/>
      <w:bookmarkEnd w:id="48"/>
      <w:r w:rsidRPr="00F51B3B">
        <w:rPr>
          <w:rFonts w:ascii="Arial" w:hAnsi="Arial" w:cs="Arial"/>
          <w:b/>
          <w:bCs/>
          <w:color w:val="000000" w:themeColor="text1"/>
          <w:sz w:val="24"/>
          <w:szCs w:val="24"/>
        </w:rPr>
        <w:t xml:space="preserve">2.3 </w:t>
      </w:r>
      <w:r w:rsidR="000375DC" w:rsidRPr="00F51B3B">
        <w:rPr>
          <w:rFonts w:ascii="Arial" w:hAnsi="Arial" w:cs="Arial"/>
          <w:b/>
          <w:bCs/>
          <w:color w:val="000000" w:themeColor="text1"/>
          <w:sz w:val="24"/>
          <w:szCs w:val="24"/>
        </w:rPr>
        <w:t>Paso 1.  Estudio Técnico Jurídico</w:t>
      </w:r>
      <w:bookmarkEnd w:id="49"/>
    </w:p>
    <w:p w14:paraId="15C27F9F" w14:textId="77777777" w:rsidR="008C03AC" w:rsidRDefault="000375DC">
      <w:pPr>
        <w:spacing w:before="240" w:after="240" w:line="276" w:lineRule="auto"/>
        <w:jc w:val="both"/>
        <w:rPr>
          <w:rFonts w:ascii="Arial" w:eastAsia="Arial" w:hAnsi="Arial" w:cs="Arial"/>
        </w:rPr>
      </w:pPr>
      <w:r>
        <w:rPr>
          <w:rFonts w:ascii="Arial" w:eastAsia="Arial" w:hAnsi="Arial" w:cs="Arial"/>
        </w:rPr>
        <w:t xml:space="preserve">Este estudio integra dos componentes fundamentales: </w:t>
      </w:r>
    </w:p>
    <w:p w14:paraId="61A6BF37" w14:textId="77777777" w:rsidR="008C03AC" w:rsidRDefault="000375DC">
      <w:pPr>
        <w:numPr>
          <w:ilvl w:val="0"/>
          <w:numId w:val="1"/>
        </w:numPr>
        <w:spacing w:before="240" w:after="240" w:line="276" w:lineRule="auto"/>
        <w:jc w:val="both"/>
        <w:rPr>
          <w:rFonts w:ascii="Arial" w:eastAsia="Arial" w:hAnsi="Arial" w:cs="Arial"/>
        </w:rPr>
      </w:pPr>
      <w:r>
        <w:rPr>
          <w:rFonts w:ascii="Arial" w:eastAsia="Arial" w:hAnsi="Arial" w:cs="Arial"/>
          <w:b/>
          <w:bCs/>
        </w:rPr>
        <w:t xml:space="preserve">Análisis técnico del predio: </w:t>
      </w:r>
      <w:r>
        <w:rPr>
          <w:rFonts w:ascii="Arial" w:eastAsia="Arial" w:hAnsi="Arial" w:cs="Arial"/>
        </w:rPr>
        <w:t>El componente técnico tiene como finalidad identificar con precisión las características físicas del inmueble. Cuando la información catastral no exista o resulte insuficiente, se deberá realizar un levantamiento topográfico que permita determinar la cabida y los linderos del predio. Este levantamiento deberá estar acompañado de un informe técnico que describa la metodología utilizada, los instrumentos empleados y los resultados obtenidos, garantizando la precisión de la información física y cartográfica</w:t>
      </w:r>
      <w:r>
        <w:rPr>
          <w:rFonts w:ascii="Arial" w:eastAsia="Arial" w:hAnsi="Arial" w:cs="Arial"/>
          <w:vertAlign w:val="superscript"/>
        </w:rPr>
        <w:footnoteReference w:id="2"/>
      </w:r>
      <w:r>
        <w:rPr>
          <w:rFonts w:ascii="Arial" w:eastAsia="Arial" w:hAnsi="Arial" w:cs="Arial"/>
          <w:vertAlign w:val="superscript"/>
        </w:rPr>
        <w:t>.</w:t>
      </w:r>
    </w:p>
    <w:p w14:paraId="5EE61127" w14:textId="77777777" w:rsidR="008C03AC" w:rsidRDefault="000375DC">
      <w:pPr>
        <w:numPr>
          <w:ilvl w:val="0"/>
          <w:numId w:val="1"/>
        </w:numPr>
        <w:spacing w:before="240" w:after="240" w:line="276" w:lineRule="auto"/>
        <w:jc w:val="both"/>
        <w:rPr>
          <w:rFonts w:ascii="Arial" w:eastAsia="Arial" w:hAnsi="Arial" w:cs="Arial"/>
          <w:vertAlign w:val="superscript"/>
        </w:rPr>
      </w:pPr>
      <w:r>
        <w:rPr>
          <w:rFonts w:ascii="Arial" w:eastAsia="Arial" w:hAnsi="Arial" w:cs="Arial"/>
          <w:b/>
          <w:bCs/>
        </w:rPr>
        <w:t xml:space="preserve">Análisis jurídico del predio: </w:t>
      </w:r>
      <w:r>
        <w:rPr>
          <w:rFonts w:ascii="Arial" w:eastAsia="Arial" w:hAnsi="Arial" w:cs="Arial"/>
        </w:rPr>
        <w:t xml:space="preserve">El componente jurídico comprende el análisis de la situación legal del predio. Para ello, se debe realizar un estudio de títulos integral que permita confirmar la titularidad municipal, identificar a los titulares de derechos reales, verificar la tradición del bien, revisar los antecedentes registrales relevantes y constatar la ausencia de terceros con derechos válidos que puedan verse afectados por la declaratoria. </w:t>
      </w:r>
    </w:p>
    <w:p w14:paraId="3B2CEF91" w14:textId="77777777" w:rsidR="008C03AC" w:rsidRDefault="000375DC">
      <w:pPr>
        <w:spacing w:before="240" w:after="240" w:line="276" w:lineRule="auto"/>
        <w:ind w:left="720"/>
        <w:jc w:val="both"/>
        <w:rPr>
          <w:rFonts w:ascii="Arial" w:eastAsia="Arial" w:hAnsi="Arial" w:cs="Arial"/>
        </w:rPr>
      </w:pPr>
      <w:r>
        <w:rPr>
          <w:rFonts w:ascii="Arial" w:eastAsia="Arial" w:hAnsi="Arial" w:cs="Arial"/>
        </w:rPr>
        <w:lastRenderedPageBreak/>
        <w:t>Asimismo, se debe examinar la existencia de gravámenes, limitaciones al dominio o cualquier otra situación jurídica que requiera saneamiento previo.</w:t>
      </w:r>
    </w:p>
    <w:p w14:paraId="45EF64D1" w14:textId="77777777" w:rsidR="008C03AC" w:rsidRDefault="000375DC">
      <w:pPr>
        <w:spacing w:before="240" w:after="240" w:line="276" w:lineRule="auto"/>
        <w:jc w:val="both"/>
        <w:rPr>
          <w:rFonts w:ascii="Arial" w:eastAsia="Arial" w:hAnsi="Arial" w:cs="Arial"/>
          <w:b/>
          <w:bCs/>
        </w:rPr>
      </w:pPr>
      <w:r>
        <w:rPr>
          <w:rFonts w:ascii="Arial" w:eastAsia="Arial" w:hAnsi="Arial" w:cs="Arial"/>
        </w:rPr>
        <w:t>Con base en este análisis, se deberá sustentar de manera clara y sólida la necesidad de la declaratoria de espacio público, exponiendo las razones de interés general que la justifican, así como el fundamento normativo aplicable, en concordancia con la Ley 2044 de 2020 y demás disposiciones vigentes.</w:t>
      </w:r>
    </w:p>
    <w:tbl>
      <w:tblPr>
        <w:tblStyle w:val="a1"/>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2F4FA42E" w14:textId="77777777">
        <w:tc>
          <w:tcPr>
            <w:tcW w:w="8838" w:type="dxa"/>
            <w:tcMar>
              <w:top w:w="100" w:type="dxa"/>
              <w:left w:w="100" w:type="dxa"/>
              <w:bottom w:w="100" w:type="dxa"/>
              <w:right w:w="100" w:type="dxa"/>
            </w:tcMar>
          </w:tcPr>
          <w:sdt>
            <w:sdtPr>
              <w:tag w:val="goog_rdk_1"/>
              <w:id w:val="-1308321339"/>
              <w:lock w:val="contentLocked"/>
            </w:sdtPr>
            <w:sdtContent>
              <w:p w14:paraId="0BFB8949" w14:textId="77777777" w:rsidR="008C03AC" w:rsidRDefault="000375DC">
                <w:pPr>
                  <w:spacing w:after="0" w:line="276" w:lineRule="auto"/>
                  <w:jc w:val="both"/>
                  <w:rPr>
                    <w:rFonts w:ascii="Arial" w:eastAsia="Arial" w:hAnsi="Arial" w:cs="Arial"/>
                  </w:rPr>
                </w:pPr>
                <w:r>
                  <w:rPr>
                    <w:rFonts w:ascii="Arial" w:eastAsia="Arial" w:hAnsi="Arial" w:cs="Arial"/>
                  </w:rPr>
                  <w:t>Dado que el estudio de títulos implica analizar la validez de actos registrales y antecedentes de propiedad, su revisión debe estar a cargo de personal con competencias jurídicas y experiencia en análisis documental. Esto permite garantizar que la formalización avance únicamente sobre predios que cumplen las condiciones establecidas.</w:t>
                </w:r>
              </w:p>
              <w:p w14:paraId="4BCE6373" w14:textId="77777777" w:rsidR="008C03AC" w:rsidRDefault="008C03AC">
                <w:pPr>
                  <w:spacing w:after="0" w:line="276" w:lineRule="auto"/>
                  <w:jc w:val="both"/>
                  <w:rPr>
                    <w:rFonts w:ascii="Arial" w:eastAsia="Arial" w:hAnsi="Arial" w:cs="Arial"/>
                  </w:rPr>
                </w:pPr>
              </w:p>
              <w:p w14:paraId="47CA19E1" w14:textId="77777777" w:rsidR="008C03AC" w:rsidRDefault="000375DC">
                <w:pPr>
                  <w:spacing w:after="0" w:line="276" w:lineRule="auto"/>
                  <w:jc w:val="both"/>
                  <w:rPr>
                    <w:rFonts w:ascii="Arial" w:eastAsia="Arial" w:hAnsi="Arial" w:cs="Arial"/>
                  </w:rPr>
                </w:pPr>
                <w:r>
                  <w:rPr>
                    <w:rFonts w:ascii="Arial" w:eastAsia="Arial" w:hAnsi="Arial" w:cs="Arial"/>
                  </w:rPr>
                  <w:t>Se adjunta un formato base de estudio títulos en el anexo 3, con los contenidos mínimos que debe tenerse en cuenta</w:t>
                </w:r>
              </w:p>
            </w:sdtContent>
          </w:sdt>
        </w:tc>
      </w:tr>
    </w:tbl>
    <w:p w14:paraId="2CF85E94" w14:textId="05DDB39C" w:rsidR="008C03AC" w:rsidRPr="00F51B3B" w:rsidRDefault="00F51B3B" w:rsidP="00F51B3B">
      <w:pPr>
        <w:pStyle w:val="Ttulo2"/>
        <w:rPr>
          <w:rFonts w:ascii="Arial" w:hAnsi="Arial" w:cs="Arial"/>
          <w:b/>
          <w:bCs/>
          <w:color w:val="000000" w:themeColor="text1"/>
          <w:sz w:val="24"/>
          <w:szCs w:val="24"/>
        </w:rPr>
      </w:pPr>
      <w:bookmarkStart w:id="50" w:name="_Toc232418211"/>
      <w:r w:rsidRPr="00F51B3B">
        <w:rPr>
          <w:rFonts w:ascii="Arial" w:hAnsi="Arial" w:cs="Arial"/>
          <w:b/>
          <w:bCs/>
          <w:color w:val="000000" w:themeColor="text1"/>
          <w:sz w:val="24"/>
          <w:szCs w:val="24"/>
        </w:rPr>
        <w:t xml:space="preserve">2.4 </w:t>
      </w:r>
      <w:r w:rsidR="000375DC" w:rsidRPr="00F51B3B">
        <w:rPr>
          <w:rFonts w:ascii="Arial" w:hAnsi="Arial" w:cs="Arial"/>
          <w:b/>
          <w:bCs/>
          <w:color w:val="000000" w:themeColor="text1"/>
          <w:sz w:val="24"/>
          <w:szCs w:val="24"/>
        </w:rPr>
        <w:t>Paso 2. Declaratoria de Utilidad Pública</w:t>
      </w:r>
      <w:bookmarkEnd w:id="50"/>
      <w:r w:rsidR="000375DC" w:rsidRPr="00F51B3B">
        <w:rPr>
          <w:rFonts w:ascii="Arial" w:hAnsi="Arial" w:cs="Arial"/>
          <w:b/>
          <w:bCs/>
          <w:color w:val="000000" w:themeColor="text1"/>
          <w:sz w:val="24"/>
          <w:szCs w:val="24"/>
        </w:rPr>
        <w:t xml:space="preserve"> </w:t>
      </w:r>
    </w:p>
    <w:p w14:paraId="4F511600" w14:textId="77777777" w:rsidR="008C03AC" w:rsidRDefault="000375DC">
      <w:pPr>
        <w:spacing w:before="240" w:after="240" w:line="276" w:lineRule="auto"/>
        <w:jc w:val="both"/>
        <w:rPr>
          <w:rFonts w:ascii="Arial" w:eastAsia="Arial" w:hAnsi="Arial" w:cs="Arial"/>
        </w:rPr>
      </w:pPr>
      <w:r>
        <w:rPr>
          <w:rFonts w:ascii="Arial" w:eastAsia="Arial" w:hAnsi="Arial" w:cs="Arial"/>
        </w:rPr>
        <w:t>Una vez finalizado el estudio técnico jurídico, la Entidad Territorial deberá emitir la declaratoria de utilidad pública, si hay prisa, puede ser de utilidad pública en condición de urgencia. Esta actuación tiene como propósito habilitar la adquisición del inmueble, especialmente cuando no es posible lograrla mediante enajenación voluntaria, permitiendo así acudir al procedimiento de expropiación por vía administrativa, conforme a la Ley 2044 de 2020.</w:t>
      </w:r>
    </w:p>
    <w:p w14:paraId="74C5EDB7" w14:textId="77777777" w:rsidR="008C03AC" w:rsidRDefault="000375DC">
      <w:pPr>
        <w:spacing w:before="240" w:after="240" w:line="276" w:lineRule="auto"/>
        <w:jc w:val="both"/>
        <w:rPr>
          <w:rFonts w:ascii="Arial" w:eastAsia="Arial" w:hAnsi="Arial" w:cs="Arial"/>
        </w:rPr>
      </w:pPr>
      <w:r>
        <w:rPr>
          <w:rFonts w:ascii="Arial" w:eastAsia="Arial" w:hAnsi="Arial" w:cs="Arial"/>
        </w:rPr>
        <w:t>La declaratoria se formaliza a través de un acto administrativo debidamente motivado, el cual debe estar sustentado en los resultados del estudio técnico jurídico. En dicho acto se deberá identificar de manera clara el predio objeto de la declaratoria, incluyendo su localización, cabida y linderos, así como exponer las razones de interés general que justifican su adquisición para la conformación, recuperación o protección del espacio público.</w:t>
      </w:r>
    </w:p>
    <w:tbl>
      <w:tblPr>
        <w:tblStyle w:val="a2"/>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6BF0A5BF" w14:textId="77777777">
        <w:tc>
          <w:tcPr>
            <w:tcW w:w="8838" w:type="dxa"/>
            <w:tcMar>
              <w:top w:w="100" w:type="dxa"/>
              <w:left w:w="100" w:type="dxa"/>
              <w:bottom w:w="100" w:type="dxa"/>
              <w:right w:w="100" w:type="dxa"/>
            </w:tcMar>
          </w:tcPr>
          <w:p w14:paraId="683D7F03" w14:textId="77777777" w:rsidR="008C03AC" w:rsidRDefault="000375DC">
            <w:pPr>
              <w:spacing w:before="240" w:after="240" w:line="276" w:lineRule="auto"/>
              <w:jc w:val="both"/>
              <w:rPr>
                <w:rFonts w:ascii="Arial" w:eastAsia="Arial" w:hAnsi="Arial" w:cs="Arial"/>
              </w:rPr>
            </w:pPr>
            <w:r>
              <w:rPr>
                <w:rFonts w:ascii="Arial" w:eastAsia="Arial" w:hAnsi="Arial" w:cs="Arial"/>
              </w:rPr>
              <w:t xml:space="preserve">Importante: la Declaratoria de Utilidad Pública es la puerta de entrada a la expropiación, sin esta no se puede adelantar dicho procedimiento. </w:t>
            </w:r>
          </w:p>
          <w:p w14:paraId="1A3E87E9" w14:textId="77777777" w:rsidR="008C03AC" w:rsidRDefault="000375DC">
            <w:pPr>
              <w:spacing w:before="240" w:after="240" w:line="276" w:lineRule="auto"/>
              <w:jc w:val="both"/>
              <w:rPr>
                <w:rFonts w:ascii="Arial" w:eastAsia="Arial" w:hAnsi="Arial" w:cs="Arial"/>
              </w:rPr>
            </w:pPr>
            <w:r>
              <w:rPr>
                <w:rFonts w:ascii="Arial" w:eastAsia="Arial" w:hAnsi="Arial" w:cs="Arial"/>
                <w:b/>
                <w:bCs/>
              </w:rPr>
              <w:lastRenderedPageBreak/>
              <w:t>Nota:</w:t>
            </w:r>
            <w:r>
              <w:rPr>
                <w:rFonts w:ascii="Arial" w:eastAsia="Arial" w:hAnsi="Arial" w:cs="Arial"/>
              </w:rPr>
              <w:t xml:space="preserve"> Para los predios cuyo origen es dominio público no es necesario realizar la declaratoria de utilidad pública o interés general.</w:t>
            </w:r>
          </w:p>
        </w:tc>
      </w:tr>
    </w:tbl>
    <w:p w14:paraId="29659C36" w14:textId="23CD4352" w:rsidR="008C03AC" w:rsidRPr="00F51B3B" w:rsidRDefault="00F51B3B" w:rsidP="00F51B3B">
      <w:pPr>
        <w:pStyle w:val="Ttulo2"/>
        <w:rPr>
          <w:rFonts w:ascii="Arial" w:hAnsi="Arial" w:cs="Arial"/>
          <w:b/>
          <w:bCs/>
          <w:color w:val="000000" w:themeColor="text1"/>
          <w:sz w:val="24"/>
          <w:szCs w:val="24"/>
        </w:rPr>
      </w:pPr>
      <w:bookmarkStart w:id="51" w:name="_Toc232418212"/>
      <w:r w:rsidRPr="00F51B3B">
        <w:rPr>
          <w:rFonts w:ascii="Arial" w:hAnsi="Arial" w:cs="Arial"/>
          <w:b/>
          <w:bCs/>
          <w:color w:val="000000" w:themeColor="text1"/>
          <w:sz w:val="24"/>
          <w:szCs w:val="24"/>
        </w:rPr>
        <w:lastRenderedPageBreak/>
        <w:t xml:space="preserve">2.5 </w:t>
      </w:r>
      <w:r w:rsidR="000375DC" w:rsidRPr="00F51B3B">
        <w:rPr>
          <w:rFonts w:ascii="Arial" w:hAnsi="Arial" w:cs="Arial"/>
          <w:b/>
          <w:bCs/>
          <w:color w:val="000000" w:themeColor="text1"/>
          <w:sz w:val="24"/>
          <w:szCs w:val="24"/>
        </w:rPr>
        <w:t>Paso 3. Facultad para la adquisición de predios</w:t>
      </w:r>
      <w:bookmarkEnd w:id="51"/>
    </w:p>
    <w:p w14:paraId="3A2687F4" w14:textId="77777777" w:rsidR="008C03AC" w:rsidRDefault="000375DC">
      <w:pPr>
        <w:spacing w:before="240" w:after="240" w:line="276" w:lineRule="auto"/>
        <w:jc w:val="both"/>
        <w:rPr>
          <w:rFonts w:ascii="Arial" w:eastAsia="Arial" w:hAnsi="Arial" w:cs="Arial"/>
        </w:rPr>
      </w:pPr>
      <w:r>
        <w:rPr>
          <w:rFonts w:ascii="Arial" w:eastAsia="Arial" w:hAnsi="Arial" w:cs="Arial"/>
        </w:rPr>
        <w:t>Antes de iniciar el proceso, es necesario verificar que los alcaldes municipales cuenten con la facultad expresa para adquirir predios, incluso a través de la expropiación por vía administrativa. Para ello, el concejo municipal debe expedir un acuerdo en el que otorgue dichas facultades, de conformidad con lo establecido en el artículo 8 de la Ley 2044 de 2020.</w:t>
      </w:r>
    </w:p>
    <w:p w14:paraId="22BFD81E" w14:textId="149C5F22" w:rsidR="008C03AC" w:rsidRDefault="000375DC">
      <w:pPr>
        <w:spacing w:before="240" w:after="240" w:line="276" w:lineRule="auto"/>
        <w:jc w:val="both"/>
        <w:rPr>
          <w:rFonts w:ascii="Arial" w:eastAsia="Arial" w:hAnsi="Arial" w:cs="Arial"/>
        </w:rPr>
      </w:pPr>
      <w:r>
        <w:rPr>
          <w:rFonts w:ascii="Arial" w:eastAsia="Arial" w:hAnsi="Arial" w:cs="Arial"/>
        </w:rPr>
        <w:t>Este acuerdo es el soporte jurídico que permite a la administración municipal adelantar el proceso de adquisición de predios, cuando sea necesario para la conformación, recuperación o protección del espacio público.</w:t>
      </w:r>
    </w:p>
    <w:tbl>
      <w:tblPr>
        <w:tblStyle w:val="a3"/>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16093B0F" w14:textId="77777777">
        <w:tc>
          <w:tcPr>
            <w:tcW w:w="8838" w:type="dxa"/>
            <w:tcMar>
              <w:top w:w="100" w:type="dxa"/>
              <w:left w:w="100" w:type="dxa"/>
              <w:bottom w:w="100" w:type="dxa"/>
              <w:right w:w="100" w:type="dxa"/>
            </w:tcMar>
          </w:tcPr>
          <w:sdt>
            <w:sdtPr>
              <w:tag w:val="goog_rdk_2"/>
              <w:id w:val="1609051023"/>
              <w:lock w:val="contentLocked"/>
            </w:sdtPr>
            <w:sdtContent>
              <w:p w14:paraId="34D2CCD8" w14:textId="77777777" w:rsidR="008C03AC" w:rsidRDefault="000375DC">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b/>
                    <w:bCs/>
                  </w:rPr>
                  <w:t xml:space="preserve">Nota: </w:t>
                </w:r>
                <w:r>
                  <w:rPr>
                    <w:rFonts w:ascii="Arial" w:eastAsia="Arial" w:hAnsi="Arial" w:cs="Arial"/>
                  </w:rPr>
                  <w:t>Para los predios cuyo origen es dominio público no debe realizarse la verificación de las facultades otorgadas por el Concejo Municipal al Alcalde.</w:t>
                </w:r>
              </w:p>
            </w:sdtContent>
          </w:sdt>
        </w:tc>
      </w:tr>
    </w:tbl>
    <w:p w14:paraId="4DA5ACBF" w14:textId="547115DA" w:rsidR="008C03AC" w:rsidRPr="00F51B3B" w:rsidRDefault="00F51B3B" w:rsidP="00F51B3B">
      <w:pPr>
        <w:pStyle w:val="Ttulo2"/>
        <w:rPr>
          <w:rFonts w:ascii="Arial" w:hAnsi="Arial" w:cs="Arial"/>
          <w:b/>
          <w:bCs/>
          <w:color w:val="000000" w:themeColor="text1"/>
          <w:sz w:val="24"/>
          <w:szCs w:val="24"/>
        </w:rPr>
      </w:pPr>
      <w:bookmarkStart w:id="52" w:name="_Toc232418213"/>
      <w:r w:rsidRPr="00F51B3B">
        <w:rPr>
          <w:rFonts w:ascii="Arial" w:hAnsi="Arial" w:cs="Arial"/>
          <w:b/>
          <w:bCs/>
          <w:color w:val="000000" w:themeColor="text1"/>
          <w:sz w:val="24"/>
          <w:szCs w:val="24"/>
        </w:rPr>
        <w:t xml:space="preserve">2.6 </w:t>
      </w:r>
      <w:r w:rsidR="000375DC" w:rsidRPr="00F51B3B">
        <w:rPr>
          <w:rFonts w:ascii="Arial" w:hAnsi="Arial" w:cs="Arial"/>
          <w:b/>
          <w:bCs/>
          <w:color w:val="000000" w:themeColor="text1"/>
          <w:sz w:val="24"/>
          <w:szCs w:val="24"/>
        </w:rPr>
        <w:t>Paso 4. Acto Administrativo de Declaratoria del Espacio Público</w:t>
      </w:r>
      <w:bookmarkEnd w:id="52"/>
    </w:p>
    <w:p w14:paraId="67E104CF" w14:textId="77777777" w:rsidR="008C03AC" w:rsidRDefault="000375DC">
      <w:pPr>
        <w:spacing w:before="240" w:after="240" w:line="276" w:lineRule="auto"/>
        <w:jc w:val="both"/>
        <w:rPr>
          <w:rFonts w:ascii="Arial" w:eastAsia="Arial" w:hAnsi="Arial" w:cs="Arial"/>
        </w:rPr>
      </w:pPr>
      <w:r>
        <w:rPr>
          <w:rFonts w:ascii="Arial" w:eastAsia="Arial" w:hAnsi="Arial" w:cs="Arial"/>
        </w:rPr>
        <w:t xml:space="preserve">Una vez verificada la facultad para la adquisición del predio, los municipios deben expedir el acto administrativo que formaliza la declaratoria de espacio público. </w:t>
      </w:r>
    </w:p>
    <w:p w14:paraId="3E8268D8" w14:textId="77777777" w:rsidR="008C03AC" w:rsidRDefault="000375DC">
      <w:pPr>
        <w:spacing w:before="240" w:after="240" w:line="276" w:lineRule="auto"/>
        <w:jc w:val="both"/>
        <w:rPr>
          <w:rFonts w:ascii="Arial" w:eastAsia="Arial" w:hAnsi="Arial" w:cs="Arial"/>
        </w:rPr>
      </w:pPr>
      <w:r>
        <w:rPr>
          <w:rFonts w:ascii="Arial" w:eastAsia="Arial" w:hAnsi="Arial" w:cs="Arial"/>
        </w:rPr>
        <w:t>Este acto debe estar motivado y fundamentado en los estudios técnicos y jurídicos previos, y, cuando corresponda, declarar el dominio pleno a favor de la entidad territorial sobre el predio. El acto administrativo debe incluir como mínimo:</w:t>
      </w:r>
    </w:p>
    <w:p w14:paraId="2BFCF2AC" w14:textId="77777777" w:rsidR="008C03AC" w:rsidRDefault="000375DC">
      <w:pPr>
        <w:numPr>
          <w:ilvl w:val="0"/>
          <w:numId w:val="2"/>
        </w:numPr>
        <w:spacing w:before="240" w:after="0" w:line="276" w:lineRule="auto"/>
        <w:rPr>
          <w:rFonts w:ascii="Arial" w:eastAsia="Arial" w:hAnsi="Arial" w:cs="Arial"/>
        </w:rPr>
      </w:pPr>
      <w:r>
        <w:rPr>
          <w:rFonts w:ascii="Arial" w:eastAsia="Arial" w:hAnsi="Arial" w:cs="Arial"/>
        </w:rPr>
        <w:t>La identificación completa del predio, con cabida, linderos y características físicas relevantes.</w:t>
      </w:r>
    </w:p>
    <w:p w14:paraId="21F67FE9" w14:textId="77777777" w:rsidR="008C03AC" w:rsidRDefault="000375DC">
      <w:pPr>
        <w:numPr>
          <w:ilvl w:val="0"/>
          <w:numId w:val="2"/>
        </w:numPr>
        <w:spacing w:after="0" w:line="276" w:lineRule="auto"/>
        <w:rPr>
          <w:rFonts w:ascii="Arial" w:eastAsia="Arial" w:hAnsi="Arial" w:cs="Arial"/>
        </w:rPr>
      </w:pPr>
      <w:r>
        <w:rPr>
          <w:rFonts w:ascii="Arial" w:eastAsia="Arial" w:hAnsi="Arial" w:cs="Arial"/>
        </w:rPr>
        <w:t>Los fundamentos técnicos y jurídicos que sustentan la declaratoria.</w:t>
      </w:r>
    </w:p>
    <w:p w14:paraId="0895D5CE" w14:textId="77777777" w:rsidR="008C03AC" w:rsidRDefault="000375DC">
      <w:pPr>
        <w:numPr>
          <w:ilvl w:val="0"/>
          <w:numId w:val="2"/>
        </w:numPr>
        <w:spacing w:after="0" w:line="276" w:lineRule="auto"/>
        <w:rPr>
          <w:rFonts w:ascii="Arial" w:eastAsia="Arial" w:hAnsi="Arial" w:cs="Arial"/>
        </w:rPr>
      </w:pPr>
      <w:r>
        <w:rPr>
          <w:rFonts w:ascii="Arial" w:eastAsia="Arial" w:hAnsi="Arial" w:cs="Arial"/>
        </w:rPr>
        <w:t>La solicitud dirigida a la Oficina de Registro de Instrumentos Públicos (ORIP) para la apertura del folio de matrícula inmobiliaria.</w:t>
      </w:r>
    </w:p>
    <w:p w14:paraId="7737F03D" w14:textId="77777777" w:rsidR="008C03AC" w:rsidRDefault="000375DC">
      <w:pPr>
        <w:numPr>
          <w:ilvl w:val="0"/>
          <w:numId w:val="2"/>
        </w:numPr>
        <w:spacing w:after="240" w:line="276" w:lineRule="auto"/>
        <w:rPr>
          <w:rFonts w:ascii="Arial" w:eastAsia="Arial" w:hAnsi="Arial" w:cs="Arial"/>
        </w:rPr>
      </w:pPr>
      <w:r>
        <w:rPr>
          <w:rFonts w:ascii="Arial" w:eastAsia="Arial" w:hAnsi="Arial" w:cs="Arial"/>
        </w:rPr>
        <w:t>La orden de expedición del acto en tres copias, para la Alcaldía, la ORIP y el Gestor Catastral con jurisdicción sobre el municipio.</w:t>
      </w:r>
    </w:p>
    <w:tbl>
      <w:tblPr>
        <w:tblStyle w:val="a4"/>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2ECDB13F" w14:textId="77777777">
        <w:tc>
          <w:tcPr>
            <w:tcW w:w="8838" w:type="dxa"/>
            <w:tcMar>
              <w:top w:w="100" w:type="dxa"/>
              <w:left w:w="100" w:type="dxa"/>
              <w:bottom w:w="100" w:type="dxa"/>
              <w:right w:w="100" w:type="dxa"/>
            </w:tcMar>
          </w:tcPr>
          <w:p w14:paraId="38083B0A" w14:textId="77777777" w:rsidR="008C03AC" w:rsidRDefault="000375DC">
            <w:pPr>
              <w:spacing w:before="240" w:after="240" w:line="276" w:lineRule="auto"/>
              <w:jc w:val="both"/>
              <w:rPr>
                <w:rFonts w:ascii="Arial" w:eastAsia="Arial" w:hAnsi="Arial" w:cs="Arial"/>
              </w:rPr>
            </w:pPr>
            <w:r>
              <w:rPr>
                <w:rFonts w:ascii="Arial" w:eastAsia="Arial" w:hAnsi="Arial" w:cs="Arial"/>
                <w:b/>
                <w:bCs/>
              </w:rPr>
              <w:lastRenderedPageBreak/>
              <w:t xml:space="preserve">Importante: </w:t>
            </w:r>
            <w:r>
              <w:rPr>
                <w:rFonts w:ascii="Arial" w:eastAsia="Arial" w:hAnsi="Arial" w:cs="Arial"/>
              </w:rPr>
              <w:t>La declaratoria de espacio público tiene efectos legales sobre el inmueble, ya que reconoce oficialmente que es un espacio destinado al uso de todos y asegura su protección y conservación para beneficio de la comunidad.</w:t>
            </w:r>
          </w:p>
        </w:tc>
      </w:tr>
    </w:tbl>
    <w:p w14:paraId="686B0EC5" w14:textId="59A5C84D" w:rsidR="008C03AC" w:rsidRPr="00F51B3B" w:rsidRDefault="00F51B3B" w:rsidP="00F51B3B">
      <w:pPr>
        <w:pStyle w:val="Ttulo2"/>
        <w:rPr>
          <w:rFonts w:ascii="Arial" w:hAnsi="Arial" w:cs="Arial"/>
          <w:b/>
          <w:bCs/>
          <w:color w:val="000000" w:themeColor="text1"/>
          <w:sz w:val="24"/>
          <w:szCs w:val="24"/>
        </w:rPr>
      </w:pPr>
      <w:bookmarkStart w:id="53" w:name="_Toc232418214"/>
      <w:r w:rsidRPr="00F51B3B">
        <w:rPr>
          <w:rFonts w:ascii="Arial" w:hAnsi="Arial" w:cs="Arial"/>
          <w:b/>
          <w:bCs/>
          <w:color w:val="000000" w:themeColor="text1"/>
          <w:sz w:val="24"/>
          <w:szCs w:val="24"/>
        </w:rPr>
        <w:t xml:space="preserve">2.7 </w:t>
      </w:r>
      <w:r w:rsidR="000375DC" w:rsidRPr="00F51B3B">
        <w:rPr>
          <w:rFonts w:ascii="Arial" w:hAnsi="Arial" w:cs="Arial"/>
          <w:b/>
          <w:bCs/>
          <w:color w:val="000000" w:themeColor="text1"/>
          <w:sz w:val="24"/>
          <w:szCs w:val="24"/>
        </w:rPr>
        <w:t>Paso 5. Oferta comercial</w:t>
      </w:r>
      <w:bookmarkEnd w:id="53"/>
      <w:r w:rsidR="000375DC" w:rsidRPr="00F51B3B">
        <w:rPr>
          <w:rFonts w:ascii="Arial" w:hAnsi="Arial" w:cs="Arial"/>
          <w:b/>
          <w:bCs/>
          <w:color w:val="000000" w:themeColor="text1"/>
          <w:sz w:val="24"/>
          <w:szCs w:val="24"/>
        </w:rPr>
        <w:t xml:space="preserve"> </w:t>
      </w:r>
    </w:p>
    <w:p w14:paraId="6E228F1A" w14:textId="77777777" w:rsidR="008C03AC" w:rsidRPr="001923ED" w:rsidRDefault="000375DC" w:rsidP="001923ED">
      <w:pPr>
        <w:jc w:val="both"/>
        <w:rPr>
          <w:rFonts w:ascii="Arial" w:hAnsi="Arial" w:cs="Arial"/>
        </w:rPr>
      </w:pPr>
      <w:bookmarkStart w:id="54" w:name="_heading=h.2gbugps6g7w5" w:colFirst="0" w:colLast="0"/>
      <w:bookmarkEnd w:id="54"/>
      <w:r w:rsidRPr="001923ED">
        <w:rPr>
          <w:rFonts w:ascii="Arial" w:hAnsi="Arial" w:cs="Arial"/>
        </w:rPr>
        <w:t xml:space="preserve">Antes de adquirir un predio, el municipio debe realizar un avalúo comercial, el cual es elaborado por un </w:t>
      </w:r>
      <w:proofErr w:type="spellStart"/>
      <w:r w:rsidRPr="001923ED">
        <w:rPr>
          <w:rFonts w:ascii="Arial" w:hAnsi="Arial" w:cs="Arial"/>
        </w:rPr>
        <w:t>avaluador</w:t>
      </w:r>
      <w:proofErr w:type="spellEnd"/>
      <w:r w:rsidRPr="001923ED">
        <w:rPr>
          <w:rFonts w:ascii="Arial" w:hAnsi="Arial" w:cs="Arial"/>
        </w:rPr>
        <w:t xml:space="preserve"> inscrito en el Registro Abierto de </w:t>
      </w:r>
      <w:proofErr w:type="spellStart"/>
      <w:r w:rsidRPr="001923ED">
        <w:rPr>
          <w:rFonts w:ascii="Arial" w:hAnsi="Arial" w:cs="Arial"/>
        </w:rPr>
        <w:t>Avaluadores</w:t>
      </w:r>
      <w:proofErr w:type="spellEnd"/>
      <w:r w:rsidRPr="001923ED">
        <w:rPr>
          <w:rFonts w:ascii="Arial" w:hAnsi="Arial" w:cs="Arial"/>
        </w:rPr>
        <w:t xml:space="preserve"> (RAA) o por una entidad autorizada. Este avalúo determina el valor real del inmueble y sirve como base para la oferta que se notificará al propietario, conforme a la Ley 2044 de 2020.</w:t>
      </w:r>
    </w:p>
    <w:p w14:paraId="3ED8DC18" w14:textId="77777777" w:rsidR="008C03AC" w:rsidRDefault="000375DC">
      <w:pPr>
        <w:spacing w:before="240" w:after="240" w:line="276" w:lineRule="auto"/>
        <w:jc w:val="both"/>
        <w:rPr>
          <w:rFonts w:ascii="Arial" w:eastAsia="Arial" w:hAnsi="Arial" w:cs="Arial"/>
        </w:rPr>
      </w:pPr>
      <w:r>
        <w:rPr>
          <w:rFonts w:ascii="Arial" w:eastAsia="Arial" w:hAnsi="Arial" w:cs="Arial"/>
        </w:rPr>
        <w:t xml:space="preserve">El </w:t>
      </w:r>
      <w:proofErr w:type="spellStart"/>
      <w:r>
        <w:rPr>
          <w:rFonts w:ascii="Arial" w:eastAsia="Arial" w:hAnsi="Arial" w:cs="Arial"/>
        </w:rPr>
        <w:t>avaluador</w:t>
      </w:r>
      <w:proofErr w:type="spellEnd"/>
      <w:r>
        <w:rPr>
          <w:rFonts w:ascii="Arial" w:eastAsia="Arial" w:hAnsi="Arial" w:cs="Arial"/>
        </w:rPr>
        <w:t xml:space="preserve"> debe apoyarse en insumos como el estudio técnico-jurídico mencionado en el Paso 1, así como en otros documentos que permitan garantizar que la oferta comercial sea objetiva y ajustada a la situación física y jurídica del predio. </w:t>
      </w:r>
    </w:p>
    <w:p w14:paraId="2080641B" w14:textId="77777777" w:rsidR="008C03AC" w:rsidRDefault="000375DC">
      <w:pPr>
        <w:spacing w:before="240" w:after="240" w:line="276" w:lineRule="auto"/>
        <w:jc w:val="both"/>
        <w:rPr>
          <w:rFonts w:ascii="Arial" w:eastAsia="Arial" w:hAnsi="Arial" w:cs="Arial"/>
        </w:rPr>
      </w:pPr>
      <w:r>
        <w:rPr>
          <w:rFonts w:ascii="Arial" w:eastAsia="Arial" w:hAnsi="Arial" w:cs="Arial"/>
        </w:rPr>
        <w:t>Con el avalúo comercial finalizado, la entidad elabora una oferta de compra, que debe ser notificada formalmente al propietario o a quien tenga derecho de dominio. A partir de la notificación, el propietario cuenta con un plazo de treinta (30) días para decidir si acepta o rechaza la oferta. Ante esto, los posibles escenarios son:</w:t>
      </w:r>
    </w:p>
    <w:p w14:paraId="788D1C0C" w14:textId="77777777" w:rsidR="008C03AC" w:rsidRDefault="000375DC">
      <w:pPr>
        <w:numPr>
          <w:ilvl w:val="0"/>
          <w:numId w:val="7"/>
        </w:numPr>
        <w:spacing w:before="240" w:after="0" w:line="276" w:lineRule="auto"/>
        <w:jc w:val="both"/>
        <w:rPr>
          <w:rFonts w:ascii="Arial" w:eastAsia="Arial" w:hAnsi="Arial" w:cs="Arial"/>
        </w:rPr>
      </w:pPr>
      <w:r>
        <w:rPr>
          <w:rFonts w:ascii="Arial" w:eastAsia="Arial" w:hAnsi="Arial" w:cs="Arial"/>
        </w:rPr>
        <w:t>Si acepta:  Se realiza la venta voluntaria del predio.</w:t>
      </w:r>
    </w:p>
    <w:p w14:paraId="5879FA0F" w14:textId="77777777" w:rsidR="008C03AC" w:rsidRDefault="000375DC">
      <w:pPr>
        <w:numPr>
          <w:ilvl w:val="0"/>
          <w:numId w:val="7"/>
        </w:numPr>
        <w:spacing w:after="240" w:line="276" w:lineRule="auto"/>
        <w:jc w:val="both"/>
        <w:rPr>
          <w:rFonts w:ascii="Arial" w:eastAsia="Arial" w:hAnsi="Arial" w:cs="Arial"/>
        </w:rPr>
      </w:pPr>
      <w:r>
        <w:rPr>
          <w:rFonts w:ascii="Arial" w:eastAsia="Arial" w:hAnsi="Arial" w:cs="Arial"/>
        </w:rPr>
        <w:t>Si no responde o rechaza la oferta: La Entidad Territorial podrá iniciar el proceso de expropiación por vía administrativa, de acuerdo con la normativa vigente.</w:t>
      </w:r>
    </w:p>
    <w:tbl>
      <w:tblPr>
        <w:tblStyle w:val="a5"/>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3B0E2B9F" w14:textId="77777777">
        <w:tc>
          <w:tcPr>
            <w:tcW w:w="8838" w:type="dxa"/>
            <w:tcMar>
              <w:top w:w="100" w:type="dxa"/>
              <w:left w:w="100" w:type="dxa"/>
              <w:bottom w:w="100" w:type="dxa"/>
              <w:right w:w="100" w:type="dxa"/>
            </w:tcMar>
          </w:tcPr>
          <w:sdt>
            <w:sdtPr>
              <w:tag w:val="goog_rdk_3"/>
              <w:id w:val="-304266206"/>
              <w:lock w:val="contentLocked"/>
            </w:sdtPr>
            <w:sdtContent>
              <w:p w14:paraId="5A7AFB79" w14:textId="77777777" w:rsidR="008C03AC" w:rsidRDefault="000375DC">
                <w:pPr>
                  <w:widowControl w:val="0"/>
                  <w:pBdr>
                    <w:top w:val="nil"/>
                    <w:left w:val="nil"/>
                    <w:bottom w:val="nil"/>
                    <w:right w:val="nil"/>
                    <w:between w:val="nil"/>
                  </w:pBdr>
                  <w:spacing w:after="0" w:line="240" w:lineRule="auto"/>
                  <w:jc w:val="both"/>
                  <w:rPr>
                    <w:rFonts w:ascii="Arial" w:eastAsia="Arial" w:hAnsi="Arial" w:cs="Arial"/>
                  </w:rPr>
                </w:pPr>
                <w:r>
                  <w:rPr>
                    <w:rFonts w:ascii="Arial" w:eastAsia="Arial" w:hAnsi="Arial" w:cs="Arial"/>
                    <w:b/>
                    <w:bCs/>
                  </w:rPr>
                  <w:t>Nota:</w:t>
                </w:r>
                <w:r>
                  <w:rPr>
                    <w:rFonts w:ascii="Arial" w:eastAsia="Arial" w:hAnsi="Arial" w:cs="Arial"/>
                  </w:rPr>
                  <w:t xml:space="preserve"> Para los bienes que vienen del dominio público, no es necesario que se adelante un avalúo comercial, pues el bien ya está en la esfera de dominio de la entidad </w:t>
                </w:r>
              </w:p>
            </w:sdtContent>
          </w:sdt>
        </w:tc>
      </w:tr>
    </w:tbl>
    <w:p w14:paraId="29AC445C" w14:textId="77777777" w:rsidR="008C03AC" w:rsidRDefault="008C03AC">
      <w:pPr>
        <w:spacing w:before="240" w:after="240" w:line="276" w:lineRule="auto"/>
        <w:jc w:val="both"/>
        <w:rPr>
          <w:rFonts w:ascii="Arial" w:eastAsia="Arial" w:hAnsi="Arial" w:cs="Arial"/>
        </w:rPr>
      </w:pPr>
    </w:p>
    <w:p w14:paraId="1289FD53" w14:textId="77777777" w:rsidR="00F51B3B" w:rsidRDefault="00F51B3B">
      <w:pPr>
        <w:spacing w:before="240" w:after="240" w:line="276" w:lineRule="auto"/>
        <w:jc w:val="both"/>
        <w:rPr>
          <w:rFonts w:ascii="Arial" w:eastAsia="Arial" w:hAnsi="Arial" w:cs="Arial"/>
        </w:rPr>
      </w:pPr>
    </w:p>
    <w:p w14:paraId="4401ADCC" w14:textId="77777777" w:rsidR="00F51B3B" w:rsidRDefault="00F51B3B">
      <w:pPr>
        <w:spacing w:before="240" w:after="240" w:line="276" w:lineRule="auto"/>
        <w:jc w:val="both"/>
        <w:rPr>
          <w:rFonts w:ascii="Arial" w:eastAsia="Arial" w:hAnsi="Arial" w:cs="Arial"/>
        </w:rPr>
      </w:pPr>
    </w:p>
    <w:p w14:paraId="50C74FD8" w14:textId="4802079E" w:rsidR="008C03AC" w:rsidRPr="00F51B3B" w:rsidRDefault="00F51B3B" w:rsidP="00F51B3B">
      <w:pPr>
        <w:pStyle w:val="Ttulo2"/>
        <w:rPr>
          <w:rFonts w:ascii="Arial" w:hAnsi="Arial" w:cs="Arial"/>
          <w:b/>
          <w:bCs/>
          <w:color w:val="000000" w:themeColor="text1"/>
          <w:sz w:val="24"/>
          <w:szCs w:val="24"/>
        </w:rPr>
      </w:pPr>
      <w:bookmarkStart w:id="55" w:name="_Toc232418215"/>
      <w:r w:rsidRPr="00F51B3B">
        <w:rPr>
          <w:rFonts w:ascii="Arial" w:hAnsi="Arial" w:cs="Arial"/>
          <w:b/>
          <w:bCs/>
          <w:color w:val="000000" w:themeColor="text1"/>
          <w:sz w:val="24"/>
          <w:szCs w:val="24"/>
        </w:rPr>
        <w:lastRenderedPageBreak/>
        <w:t xml:space="preserve">2.8 </w:t>
      </w:r>
      <w:r w:rsidR="000375DC" w:rsidRPr="00F51B3B">
        <w:rPr>
          <w:rFonts w:ascii="Arial" w:hAnsi="Arial" w:cs="Arial"/>
          <w:b/>
          <w:bCs/>
          <w:color w:val="000000" w:themeColor="text1"/>
          <w:sz w:val="24"/>
          <w:szCs w:val="24"/>
        </w:rPr>
        <w:t>Paso 6. Expropiación por vía administrativa</w:t>
      </w:r>
      <w:bookmarkEnd w:id="55"/>
    </w:p>
    <w:p w14:paraId="094EE3D2" w14:textId="77777777" w:rsidR="008C03AC" w:rsidRDefault="000375DC">
      <w:pPr>
        <w:spacing w:before="240" w:after="240" w:line="276" w:lineRule="auto"/>
        <w:jc w:val="both"/>
        <w:rPr>
          <w:rFonts w:ascii="Arial" w:eastAsia="Arial" w:hAnsi="Arial" w:cs="Arial"/>
        </w:rPr>
      </w:pPr>
      <w:r>
        <w:rPr>
          <w:rFonts w:ascii="Arial" w:eastAsia="Arial" w:hAnsi="Arial" w:cs="Arial"/>
        </w:rPr>
        <w:t>Si no se logra la adquisición del predio mediante enajenación voluntaria dentro del plazo establecido, el municipio podrá iniciar el proceso de expropiación por vía administrativa, con fundamento en la declaratoria de utilidad pública e interés social prevista en el literal b) del artículo 58 de la Ley 388 de 1997, modificado por el artículo 31 de la Ley 2079 de 2021, así como en las disposiciones de la Ley 2044 de 2020 y demás normas aplicables. Este mecanismo procede únicamente cuando el inmueble requerido para la conformación, recuperación o protección del espacio público no puede ser adquirido por acuerdo directo con su propietario, y resulta indispensable para garantizar su destinación al uso común y la prevalencia del interés general.</w:t>
      </w:r>
    </w:p>
    <w:p w14:paraId="7829AF11" w14:textId="77777777" w:rsidR="00BA4F19" w:rsidRDefault="000375DC">
      <w:pPr>
        <w:spacing w:before="240" w:after="240" w:line="276" w:lineRule="auto"/>
        <w:jc w:val="both"/>
        <w:rPr>
          <w:rFonts w:ascii="Arial" w:eastAsia="Arial" w:hAnsi="Arial" w:cs="Arial"/>
        </w:rPr>
      </w:pPr>
      <w:r>
        <w:rPr>
          <w:rFonts w:ascii="Arial" w:eastAsia="Arial" w:hAnsi="Arial" w:cs="Arial"/>
        </w:rPr>
        <w:t xml:space="preserve">El acto administrativo que ordena la expropiación deberá notificarse personalmente al propietario y a los demás titulares de derechos reales o intereses jurídicamente protegidos sobre el predio. Una vez dicho acto quede en firme, la entidad territorial procederá a consignar el valor de la indemnización previamente determinado conforme a las reglas legales de valoración. </w:t>
      </w:r>
    </w:p>
    <w:p w14:paraId="3286944E" w14:textId="7404D343" w:rsidR="008C03AC" w:rsidRDefault="000375DC">
      <w:pPr>
        <w:spacing w:before="240" w:after="240" w:line="276" w:lineRule="auto"/>
        <w:jc w:val="both"/>
        <w:rPr>
          <w:rFonts w:ascii="Arial" w:eastAsia="Arial" w:hAnsi="Arial" w:cs="Arial"/>
        </w:rPr>
      </w:pPr>
      <w:r>
        <w:rPr>
          <w:rFonts w:ascii="Arial" w:eastAsia="Arial" w:hAnsi="Arial" w:cs="Arial"/>
        </w:rPr>
        <w:t>Posteriormente, se realizará la entrega material del inmueble, el cual pasará a la administración municipal, será incorporado al inventario de bienes públicos y se destinará formalmente como espacio público.</w:t>
      </w:r>
    </w:p>
    <w:p w14:paraId="37E55544" w14:textId="77777777" w:rsidR="00BA4F19" w:rsidRDefault="000375DC">
      <w:pPr>
        <w:spacing w:before="240" w:after="240" w:line="276" w:lineRule="auto"/>
        <w:jc w:val="both"/>
        <w:rPr>
          <w:rFonts w:ascii="Arial" w:eastAsia="Arial" w:hAnsi="Arial" w:cs="Arial"/>
        </w:rPr>
      </w:pPr>
      <w:r>
        <w:rPr>
          <w:rFonts w:ascii="Arial" w:eastAsia="Arial" w:hAnsi="Arial" w:cs="Arial"/>
        </w:rPr>
        <w:t xml:space="preserve">En particular, el artículo 8 de la Ley 2044 de 2020 faculta a las entidades territoriales para adelantar la adquisición de predios privados mediante expropiación por vía administrativa en los casos en que existan posesiones superiores a diez (10) años en asentamientos humanos ilegales consolidados, como parte de los procesos de legalización y consolidación urbanística. </w:t>
      </w:r>
    </w:p>
    <w:p w14:paraId="08DB37DF" w14:textId="474EDF9D" w:rsidR="008C03AC" w:rsidRDefault="000375DC">
      <w:pPr>
        <w:spacing w:before="240" w:after="240" w:line="276" w:lineRule="auto"/>
        <w:jc w:val="both"/>
        <w:rPr>
          <w:rFonts w:ascii="Arial" w:eastAsia="Arial" w:hAnsi="Arial" w:cs="Arial"/>
        </w:rPr>
      </w:pPr>
      <w:r>
        <w:rPr>
          <w:rFonts w:ascii="Arial" w:eastAsia="Arial" w:hAnsi="Arial" w:cs="Arial"/>
        </w:rPr>
        <w:t>En este sentido, la expropiación por vía administrativa constituye una herramienta excepcional prevista en el ordenamiento jurídico que permite culminar el proceso de formalización cuando el predio es de dominio privado y su adquisición resulta necesaria para la consolidación, recuperación o protección efectiva del espacio público.</w:t>
      </w:r>
    </w:p>
    <w:tbl>
      <w:tblPr>
        <w:tblStyle w:val="a6"/>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26F9AE80" w14:textId="77777777">
        <w:tc>
          <w:tcPr>
            <w:tcW w:w="8838" w:type="dxa"/>
            <w:tcMar>
              <w:top w:w="100" w:type="dxa"/>
              <w:left w:w="100" w:type="dxa"/>
              <w:bottom w:w="100" w:type="dxa"/>
              <w:right w:w="100" w:type="dxa"/>
            </w:tcMar>
          </w:tcPr>
          <w:sdt>
            <w:sdtPr>
              <w:tag w:val="goog_rdk_4"/>
              <w:id w:val="313933899"/>
              <w:lock w:val="contentLocked"/>
            </w:sdtPr>
            <w:sdtContent>
              <w:p w14:paraId="5CFB124B" w14:textId="77777777" w:rsidR="008C03AC" w:rsidRDefault="000375DC">
                <w:pPr>
                  <w:widowControl w:val="0"/>
                  <w:spacing w:after="0" w:line="240" w:lineRule="auto"/>
                  <w:jc w:val="both"/>
                  <w:rPr>
                    <w:rFonts w:ascii="Arial" w:eastAsia="Arial" w:hAnsi="Arial" w:cs="Arial"/>
                  </w:rPr>
                </w:pPr>
                <w:r>
                  <w:rPr>
                    <w:rFonts w:ascii="Arial" w:eastAsia="Arial" w:hAnsi="Arial" w:cs="Arial"/>
                    <w:b/>
                    <w:bCs/>
                  </w:rPr>
                  <w:t>Nota:</w:t>
                </w:r>
                <w:r>
                  <w:rPr>
                    <w:rFonts w:ascii="Arial" w:eastAsia="Arial" w:hAnsi="Arial" w:cs="Arial"/>
                  </w:rPr>
                  <w:t xml:space="preserve"> Para los bienes que vienen del dominio público, no es necesario este paso debido a que el bien no se encuentra en cabeza de un particular.</w:t>
                </w:r>
              </w:p>
            </w:sdtContent>
          </w:sdt>
        </w:tc>
      </w:tr>
    </w:tbl>
    <w:p w14:paraId="53A82384" w14:textId="77777777" w:rsidR="008C03AC" w:rsidRDefault="008C03AC">
      <w:pPr>
        <w:spacing w:line="276" w:lineRule="auto"/>
        <w:rPr>
          <w:rFonts w:ascii="Arial" w:eastAsia="Arial" w:hAnsi="Arial" w:cs="Arial"/>
        </w:rPr>
      </w:pPr>
    </w:p>
    <w:p w14:paraId="74674F93" w14:textId="6E6A3F08" w:rsidR="008C03AC" w:rsidRPr="00F51B3B" w:rsidRDefault="00F51B3B" w:rsidP="00F51B3B">
      <w:pPr>
        <w:pStyle w:val="Ttulo2"/>
        <w:rPr>
          <w:rFonts w:ascii="Arial" w:hAnsi="Arial" w:cs="Arial"/>
          <w:b/>
          <w:bCs/>
          <w:color w:val="000000" w:themeColor="text1"/>
          <w:sz w:val="24"/>
          <w:szCs w:val="24"/>
        </w:rPr>
      </w:pPr>
      <w:bookmarkStart w:id="56" w:name="_Toc232418216"/>
      <w:r>
        <w:rPr>
          <w:rFonts w:ascii="Arial" w:hAnsi="Arial" w:cs="Arial"/>
          <w:b/>
          <w:bCs/>
          <w:color w:val="000000" w:themeColor="text1"/>
          <w:sz w:val="24"/>
          <w:szCs w:val="24"/>
        </w:rPr>
        <w:lastRenderedPageBreak/>
        <w:t>2.</w:t>
      </w:r>
      <w:r w:rsidRPr="00F51B3B">
        <w:rPr>
          <w:rFonts w:ascii="Arial" w:hAnsi="Arial" w:cs="Arial"/>
          <w:b/>
          <w:bCs/>
          <w:color w:val="000000" w:themeColor="text1"/>
          <w:sz w:val="24"/>
          <w:szCs w:val="24"/>
        </w:rPr>
        <w:t xml:space="preserve">9 </w:t>
      </w:r>
      <w:r w:rsidR="000375DC" w:rsidRPr="00F51B3B">
        <w:rPr>
          <w:rFonts w:ascii="Arial" w:hAnsi="Arial" w:cs="Arial"/>
          <w:b/>
          <w:bCs/>
          <w:color w:val="000000" w:themeColor="text1"/>
          <w:sz w:val="24"/>
          <w:szCs w:val="24"/>
        </w:rPr>
        <w:t>Paso 7.  Remisión a Registro y Catastro</w:t>
      </w:r>
      <w:bookmarkEnd w:id="56"/>
    </w:p>
    <w:p w14:paraId="3A64A553" w14:textId="77777777" w:rsidR="008C03AC" w:rsidRDefault="000375DC">
      <w:pPr>
        <w:spacing w:before="240" w:after="240" w:line="276" w:lineRule="auto"/>
        <w:jc w:val="both"/>
        <w:rPr>
          <w:rFonts w:ascii="Arial" w:eastAsia="Arial" w:hAnsi="Arial" w:cs="Arial"/>
        </w:rPr>
      </w:pPr>
      <w:r>
        <w:rPr>
          <w:rFonts w:ascii="Arial" w:eastAsia="Arial" w:hAnsi="Arial" w:cs="Arial"/>
        </w:rPr>
        <w:t>Una vez en firme el acto administrativo de expropiación y realizada la consignación del valor de la indemnización, los municipios deberán:</w:t>
      </w:r>
    </w:p>
    <w:p w14:paraId="422742C9" w14:textId="77777777" w:rsidR="008C03AC" w:rsidRDefault="000375DC">
      <w:pPr>
        <w:numPr>
          <w:ilvl w:val="0"/>
          <w:numId w:val="15"/>
        </w:numPr>
        <w:spacing w:before="240" w:after="0" w:line="276" w:lineRule="auto"/>
        <w:jc w:val="both"/>
        <w:rPr>
          <w:rFonts w:ascii="Arial" w:eastAsia="Arial" w:hAnsi="Arial" w:cs="Arial"/>
        </w:rPr>
      </w:pPr>
      <w:r>
        <w:rPr>
          <w:rFonts w:ascii="Arial" w:eastAsia="Arial" w:hAnsi="Arial" w:cs="Arial"/>
        </w:rPr>
        <w:t>Remitir el acto administrativo y los documentos soporte a la Oficina de Registro de Instrumentos Públicos (ORIP) para inscribir el predio en el folio de matrícula inmobiliaria. Con esta inscripción se formaliza la transferencia del dominio a favor de la Entidad Territorial.</w:t>
      </w:r>
    </w:p>
    <w:p w14:paraId="7739E67E" w14:textId="77777777" w:rsidR="008C03AC" w:rsidRDefault="000375DC">
      <w:pPr>
        <w:numPr>
          <w:ilvl w:val="0"/>
          <w:numId w:val="15"/>
        </w:numPr>
        <w:spacing w:after="240" w:line="276" w:lineRule="auto"/>
        <w:jc w:val="both"/>
        <w:rPr>
          <w:rFonts w:ascii="Arial" w:eastAsia="Arial" w:hAnsi="Arial" w:cs="Arial"/>
        </w:rPr>
      </w:pPr>
      <w:r>
        <w:rPr>
          <w:rFonts w:ascii="Arial" w:eastAsia="Arial" w:hAnsi="Arial" w:cs="Arial"/>
        </w:rPr>
        <w:t>Remitir la misma información a la autoridad catastral correspondiente, para actualizar los datos del predio, incluyendo su nueva titularidad y su destinación como bien público o espacio público, según corresponda.</w:t>
      </w:r>
    </w:p>
    <w:tbl>
      <w:tblPr>
        <w:tblStyle w:val="a7"/>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8C03AC" w14:paraId="256267BA" w14:textId="77777777">
        <w:tc>
          <w:tcPr>
            <w:tcW w:w="8838" w:type="dxa"/>
            <w:tcMar>
              <w:top w:w="100" w:type="dxa"/>
              <w:left w:w="100" w:type="dxa"/>
              <w:bottom w:w="100" w:type="dxa"/>
              <w:right w:w="100" w:type="dxa"/>
            </w:tcMar>
          </w:tcPr>
          <w:p w14:paraId="034C68F0" w14:textId="77777777" w:rsidR="008C03AC" w:rsidRDefault="000375DC">
            <w:pPr>
              <w:spacing w:before="240" w:after="240" w:line="276" w:lineRule="auto"/>
              <w:jc w:val="both"/>
              <w:rPr>
                <w:rFonts w:ascii="Arial" w:eastAsia="Arial" w:hAnsi="Arial" w:cs="Arial"/>
              </w:rPr>
            </w:pPr>
            <w:r>
              <w:rPr>
                <w:rFonts w:ascii="Arial" w:eastAsia="Arial" w:hAnsi="Arial" w:cs="Arial"/>
              </w:rPr>
              <w:t>Importante: Este procedimiento asegura la coherencia entre la información registral, catastral y administrativa, garantizando que la propiedad del inmueble y su uso queden correctamente registrados.</w:t>
            </w:r>
          </w:p>
        </w:tc>
      </w:tr>
    </w:tbl>
    <w:p w14:paraId="3052DFF1" w14:textId="77777777" w:rsidR="00F51B3B" w:rsidRDefault="00F51B3B" w:rsidP="00F51B3B">
      <w:pPr>
        <w:spacing w:line="276" w:lineRule="auto"/>
        <w:rPr>
          <w:rFonts w:ascii="Arial" w:eastAsia="Arial" w:hAnsi="Arial" w:cs="Arial"/>
          <w:b/>
          <w:bCs/>
        </w:rPr>
      </w:pPr>
    </w:p>
    <w:p w14:paraId="5975C951" w14:textId="63FCDE9D" w:rsidR="008C03AC" w:rsidRPr="001923ED" w:rsidRDefault="001923ED" w:rsidP="001923ED">
      <w:pPr>
        <w:pStyle w:val="Ttulo2"/>
        <w:rPr>
          <w:rFonts w:ascii="Arial" w:hAnsi="Arial" w:cs="Arial"/>
          <w:b/>
          <w:bCs/>
          <w:color w:val="000000" w:themeColor="text1"/>
          <w:sz w:val="24"/>
          <w:szCs w:val="24"/>
        </w:rPr>
      </w:pPr>
      <w:bookmarkStart w:id="57" w:name="_Toc232418217"/>
      <w:r w:rsidRPr="001923ED">
        <w:rPr>
          <w:rFonts w:ascii="Arial" w:hAnsi="Arial" w:cs="Arial"/>
          <w:b/>
          <w:bCs/>
          <w:color w:val="000000" w:themeColor="text1"/>
          <w:sz w:val="24"/>
          <w:szCs w:val="24"/>
        </w:rPr>
        <w:t xml:space="preserve">2.10 </w:t>
      </w:r>
      <w:r w:rsidR="00F51B3B" w:rsidRPr="001923ED">
        <w:rPr>
          <w:rFonts w:ascii="Arial" w:hAnsi="Arial" w:cs="Arial"/>
          <w:b/>
          <w:bCs/>
          <w:color w:val="000000" w:themeColor="text1"/>
          <w:sz w:val="24"/>
          <w:szCs w:val="24"/>
        </w:rPr>
        <w:t>P</w:t>
      </w:r>
      <w:r w:rsidR="000375DC" w:rsidRPr="001923ED">
        <w:rPr>
          <w:rFonts w:ascii="Arial" w:hAnsi="Arial" w:cs="Arial"/>
          <w:b/>
          <w:bCs/>
          <w:color w:val="000000" w:themeColor="text1"/>
          <w:sz w:val="24"/>
          <w:szCs w:val="24"/>
        </w:rPr>
        <w:t>aso 8. Actualización de Inventario Municipal de Inmuebles</w:t>
      </w:r>
      <w:bookmarkEnd w:id="57"/>
    </w:p>
    <w:p w14:paraId="16B9039E" w14:textId="77777777" w:rsidR="008C03AC" w:rsidRDefault="000375DC">
      <w:pPr>
        <w:shd w:val="clear" w:color="auto" w:fill="FFFFFF"/>
        <w:spacing w:before="240" w:after="240" w:line="276" w:lineRule="auto"/>
        <w:jc w:val="both"/>
        <w:rPr>
          <w:rFonts w:ascii="Arial" w:eastAsia="Arial" w:hAnsi="Arial" w:cs="Arial"/>
        </w:rPr>
      </w:pPr>
      <w:r>
        <w:rPr>
          <w:rFonts w:ascii="Arial" w:eastAsia="Arial" w:hAnsi="Arial" w:cs="Arial"/>
        </w:rPr>
        <w:t xml:space="preserve">La actualización del Inventario Municipal una vez se registra el acto administrativo de expropiación, constituye un paso esencial para garantizar la trazabilidad jurídica, administrativa y técnica del proceso de formalización. Este ajuste permite incorporar la nueva condición del inmueble en la base de datos del Inventario, asegurando que la información refleje fielmente su situación actual. </w:t>
      </w:r>
    </w:p>
    <w:p w14:paraId="52CC7A0C" w14:textId="77777777" w:rsidR="008C03AC" w:rsidRDefault="008C03AC">
      <w:pPr>
        <w:shd w:val="clear" w:color="auto" w:fill="FFFFFF"/>
        <w:spacing w:before="240" w:after="240" w:line="276" w:lineRule="auto"/>
        <w:jc w:val="both"/>
        <w:rPr>
          <w:rFonts w:ascii="Arial" w:eastAsia="Arial" w:hAnsi="Arial" w:cs="Arial"/>
        </w:rPr>
      </w:pPr>
    </w:p>
    <w:p w14:paraId="0972FA4D" w14:textId="77777777" w:rsidR="008C03AC" w:rsidRDefault="008C03AC">
      <w:pPr>
        <w:spacing w:after="0" w:line="276" w:lineRule="auto"/>
        <w:jc w:val="center"/>
        <w:rPr>
          <w:rFonts w:ascii="Arial" w:eastAsia="Arial" w:hAnsi="Arial" w:cs="Arial"/>
          <w:b/>
          <w:bCs/>
        </w:rPr>
      </w:pPr>
    </w:p>
    <w:p w14:paraId="1AF90A95" w14:textId="77777777" w:rsidR="008C03AC" w:rsidRDefault="008C03AC">
      <w:pPr>
        <w:spacing w:after="0" w:line="276" w:lineRule="auto"/>
        <w:jc w:val="center"/>
        <w:rPr>
          <w:rFonts w:ascii="Arial" w:eastAsia="Arial" w:hAnsi="Arial" w:cs="Arial"/>
          <w:b/>
          <w:bCs/>
        </w:rPr>
      </w:pPr>
    </w:p>
    <w:p w14:paraId="3CE5724F" w14:textId="77777777" w:rsidR="00F51B3B" w:rsidRDefault="00F51B3B">
      <w:pPr>
        <w:spacing w:after="0" w:line="276" w:lineRule="auto"/>
        <w:jc w:val="center"/>
        <w:rPr>
          <w:rFonts w:ascii="Arial" w:eastAsia="Arial" w:hAnsi="Arial" w:cs="Arial"/>
          <w:b/>
          <w:bCs/>
        </w:rPr>
      </w:pPr>
    </w:p>
    <w:p w14:paraId="5F42408C" w14:textId="77777777" w:rsidR="00F51B3B" w:rsidRDefault="00F51B3B">
      <w:pPr>
        <w:spacing w:after="0" w:line="276" w:lineRule="auto"/>
        <w:jc w:val="center"/>
        <w:rPr>
          <w:rFonts w:ascii="Arial" w:eastAsia="Arial" w:hAnsi="Arial" w:cs="Arial"/>
          <w:b/>
          <w:bCs/>
        </w:rPr>
      </w:pPr>
    </w:p>
    <w:p w14:paraId="7186D92D" w14:textId="77777777" w:rsidR="00F51B3B" w:rsidRDefault="00F51B3B">
      <w:pPr>
        <w:spacing w:after="0" w:line="276" w:lineRule="auto"/>
        <w:jc w:val="center"/>
        <w:rPr>
          <w:rFonts w:ascii="Arial" w:eastAsia="Arial" w:hAnsi="Arial" w:cs="Arial"/>
          <w:b/>
          <w:bCs/>
        </w:rPr>
      </w:pPr>
    </w:p>
    <w:p w14:paraId="78271380" w14:textId="77777777" w:rsidR="00F51B3B" w:rsidRDefault="00F51B3B">
      <w:pPr>
        <w:spacing w:after="0" w:line="276" w:lineRule="auto"/>
        <w:jc w:val="center"/>
        <w:rPr>
          <w:rFonts w:ascii="Arial" w:eastAsia="Arial" w:hAnsi="Arial" w:cs="Arial"/>
          <w:b/>
          <w:bCs/>
        </w:rPr>
      </w:pPr>
    </w:p>
    <w:p w14:paraId="5F17A8DB" w14:textId="77777777" w:rsidR="008C03AC" w:rsidRDefault="008C03AC">
      <w:pPr>
        <w:spacing w:after="0" w:line="276" w:lineRule="auto"/>
        <w:jc w:val="center"/>
        <w:rPr>
          <w:rFonts w:ascii="Arial" w:eastAsia="Arial" w:hAnsi="Arial" w:cs="Arial"/>
          <w:b/>
          <w:bCs/>
        </w:rPr>
      </w:pPr>
    </w:p>
    <w:p w14:paraId="29B5B246" w14:textId="77777777" w:rsidR="008C03AC" w:rsidRDefault="008C03AC">
      <w:pPr>
        <w:spacing w:after="0" w:line="276" w:lineRule="auto"/>
        <w:jc w:val="center"/>
        <w:rPr>
          <w:rFonts w:ascii="Arial" w:eastAsia="Arial" w:hAnsi="Arial" w:cs="Arial"/>
          <w:b/>
          <w:bCs/>
        </w:rPr>
      </w:pPr>
    </w:p>
    <w:p w14:paraId="3A8503AB" w14:textId="4B4AEB65" w:rsidR="008C03AC" w:rsidRPr="000C6570" w:rsidRDefault="000C6570" w:rsidP="000C6570">
      <w:pPr>
        <w:pStyle w:val="Descripcin"/>
        <w:jc w:val="center"/>
        <w:rPr>
          <w:rFonts w:ascii="Arial" w:eastAsia="Arial" w:hAnsi="Arial" w:cs="Arial"/>
          <w:b/>
          <w:bCs/>
          <w:i w:val="0"/>
          <w:iCs w:val="0"/>
          <w:color w:val="000000" w:themeColor="text1"/>
          <w:sz w:val="24"/>
          <w:szCs w:val="24"/>
        </w:rPr>
      </w:pPr>
      <w:bookmarkStart w:id="58" w:name="_Toc232418225"/>
      <w:r w:rsidRPr="000C6570">
        <w:rPr>
          <w:rFonts w:ascii="Arial" w:hAnsi="Arial" w:cs="Arial"/>
          <w:b/>
          <w:bCs/>
          <w:i w:val="0"/>
          <w:iCs w:val="0"/>
          <w:color w:val="000000" w:themeColor="text1"/>
          <w:sz w:val="24"/>
          <w:szCs w:val="24"/>
        </w:rPr>
        <w:lastRenderedPageBreak/>
        <w:t xml:space="preserve">Gráfica </w:t>
      </w:r>
      <w:r w:rsidRPr="000C6570">
        <w:rPr>
          <w:rFonts w:ascii="Arial" w:hAnsi="Arial" w:cs="Arial"/>
          <w:b/>
          <w:bCs/>
          <w:i w:val="0"/>
          <w:iCs w:val="0"/>
          <w:color w:val="000000" w:themeColor="text1"/>
          <w:sz w:val="24"/>
          <w:szCs w:val="24"/>
        </w:rPr>
        <w:fldChar w:fldCharType="begin"/>
      </w:r>
      <w:r w:rsidRPr="000C6570">
        <w:rPr>
          <w:rFonts w:ascii="Arial" w:hAnsi="Arial" w:cs="Arial"/>
          <w:b/>
          <w:bCs/>
          <w:i w:val="0"/>
          <w:iCs w:val="0"/>
          <w:color w:val="000000" w:themeColor="text1"/>
          <w:sz w:val="24"/>
          <w:szCs w:val="24"/>
        </w:rPr>
        <w:instrText xml:space="preserve"> SEQ Gráfica \* ARABIC </w:instrText>
      </w:r>
      <w:r w:rsidRPr="000C6570">
        <w:rPr>
          <w:rFonts w:ascii="Arial" w:hAnsi="Arial" w:cs="Arial"/>
          <w:b/>
          <w:bCs/>
          <w:i w:val="0"/>
          <w:iCs w:val="0"/>
          <w:color w:val="000000" w:themeColor="text1"/>
          <w:sz w:val="24"/>
          <w:szCs w:val="24"/>
        </w:rPr>
        <w:fldChar w:fldCharType="separate"/>
      </w:r>
      <w:r w:rsidR="007733E7">
        <w:rPr>
          <w:rFonts w:ascii="Arial" w:hAnsi="Arial" w:cs="Arial"/>
          <w:b/>
          <w:bCs/>
          <w:i w:val="0"/>
          <w:iCs w:val="0"/>
          <w:noProof/>
          <w:color w:val="000000" w:themeColor="text1"/>
          <w:sz w:val="24"/>
          <w:szCs w:val="24"/>
        </w:rPr>
        <w:t>4</w:t>
      </w:r>
      <w:r w:rsidRPr="000C6570">
        <w:rPr>
          <w:rFonts w:ascii="Arial" w:hAnsi="Arial" w:cs="Arial"/>
          <w:b/>
          <w:bCs/>
          <w:i w:val="0"/>
          <w:iCs w:val="0"/>
          <w:color w:val="000000" w:themeColor="text1"/>
          <w:sz w:val="24"/>
          <w:szCs w:val="24"/>
        </w:rPr>
        <w:fldChar w:fldCharType="end"/>
      </w:r>
      <w:r w:rsidRPr="000C6570">
        <w:rPr>
          <w:rFonts w:ascii="Arial" w:hAnsi="Arial" w:cs="Arial"/>
          <w:b/>
          <w:bCs/>
          <w:i w:val="0"/>
          <w:iCs w:val="0"/>
          <w:color w:val="000000" w:themeColor="text1"/>
          <w:sz w:val="24"/>
          <w:szCs w:val="24"/>
        </w:rPr>
        <w:t>. Flujograma declaratoria espacio público</w:t>
      </w:r>
      <w:bookmarkEnd w:id="58"/>
    </w:p>
    <w:p w14:paraId="1BEA819A" w14:textId="77777777" w:rsidR="008C03AC" w:rsidRDefault="000375DC">
      <w:pPr>
        <w:shd w:val="clear" w:color="auto" w:fill="FFFFFF"/>
        <w:spacing w:before="240" w:after="240" w:line="276" w:lineRule="auto"/>
        <w:jc w:val="both"/>
        <w:rPr>
          <w:rFonts w:ascii="Arial" w:eastAsia="Arial" w:hAnsi="Arial" w:cs="Arial"/>
        </w:rPr>
      </w:pPr>
      <w:r>
        <w:rPr>
          <w:rFonts w:ascii="Arial" w:eastAsia="Arial" w:hAnsi="Arial" w:cs="Arial"/>
          <w:noProof/>
        </w:rPr>
        <w:drawing>
          <wp:inline distT="114300" distB="114300" distL="114300" distR="114300" wp14:anchorId="2D0C02FB" wp14:editId="40DB22F0">
            <wp:extent cx="5612130" cy="42037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612130" cy="4203700"/>
                    </a:xfrm>
                    <a:prstGeom prst="rect">
                      <a:avLst/>
                    </a:prstGeom>
                    <a:ln/>
                  </pic:spPr>
                </pic:pic>
              </a:graphicData>
            </a:graphic>
          </wp:inline>
        </w:drawing>
      </w:r>
    </w:p>
    <w:p w14:paraId="0E7AB98E" w14:textId="77777777" w:rsidR="008C03AC" w:rsidRDefault="000375DC">
      <w:pPr>
        <w:shd w:val="clear" w:color="auto" w:fill="FFFFFF"/>
        <w:spacing w:before="240" w:after="240" w:line="276" w:lineRule="auto"/>
        <w:jc w:val="center"/>
        <w:rPr>
          <w:rFonts w:ascii="Arial" w:eastAsia="Arial" w:hAnsi="Arial" w:cs="Arial"/>
          <w:sz w:val="18"/>
          <w:szCs w:val="18"/>
        </w:rPr>
      </w:pPr>
      <w:r w:rsidRPr="00F51B3B">
        <w:rPr>
          <w:rFonts w:ascii="Arial" w:eastAsia="Arial" w:hAnsi="Arial" w:cs="Arial"/>
          <w:sz w:val="18"/>
          <w:szCs w:val="18"/>
        </w:rPr>
        <w:t>Fuente: Elaboración propia</w:t>
      </w:r>
    </w:p>
    <w:p w14:paraId="63F0A552" w14:textId="77777777" w:rsidR="00F51B3B" w:rsidRDefault="00F51B3B">
      <w:pPr>
        <w:shd w:val="clear" w:color="auto" w:fill="FFFFFF"/>
        <w:spacing w:before="240" w:after="240" w:line="276" w:lineRule="auto"/>
        <w:jc w:val="center"/>
        <w:rPr>
          <w:rFonts w:ascii="Arial" w:eastAsia="Arial" w:hAnsi="Arial" w:cs="Arial"/>
          <w:sz w:val="18"/>
          <w:szCs w:val="18"/>
        </w:rPr>
      </w:pPr>
    </w:p>
    <w:p w14:paraId="6F9C43B8" w14:textId="77777777" w:rsidR="00F51B3B" w:rsidRDefault="00F51B3B">
      <w:pPr>
        <w:shd w:val="clear" w:color="auto" w:fill="FFFFFF"/>
        <w:spacing w:before="240" w:after="240" w:line="276" w:lineRule="auto"/>
        <w:jc w:val="center"/>
        <w:rPr>
          <w:rFonts w:ascii="Arial" w:eastAsia="Arial" w:hAnsi="Arial" w:cs="Arial"/>
          <w:sz w:val="18"/>
          <w:szCs w:val="18"/>
        </w:rPr>
      </w:pPr>
    </w:p>
    <w:p w14:paraId="7B4F99E5" w14:textId="77777777" w:rsidR="00F51B3B" w:rsidRDefault="00F51B3B">
      <w:pPr>
        <w:shd w:val="clear" w:color="auto" w:fill="FFFFFF"/>
        <w:spacing w:before="240" w:after="240" w:line="276" w:lineRule="auto"/>
        <w:jc w:val="center"/>
        <w:rPr>
          <w:rFonts w:ascii="Arial" w:eastAsia="Arial" w:hAnsi="Arial" w:cs="Arial"/>
          <w:sz w:val="18"/>
          <w:szCs w:val="18"/>
        </w:rPr>
      </w:pPr>
    </w:p>
    <w:p w14:paraId="3DDAA19C" w14:textId="77777777" w:rsidR="00F51B3B" w:rsidRPr="00F51B3B" w:rsidRDefault="00F51B3B">
      <w:pPr>
        <w:shd w:val="clear" w:color="auto" w:fill="FFFFFF"/>
        <w:spacing w:before="240" w:after="240" w:line="276" w:lineRule="auto"/>
        <w:jc w:val="center"/>
        <w:rPr>
          <w:rFonts w:ascii="Arial" w:eastAsia="Arial" w:hAnsi="Arial" w:cs="Arial"/>
          <w:sz w:val="18"/>
          <w:szCs w:val="18"/>
        </w:rPr>
      </w:pPr>
    </w:p>
    <w:p w14:paraId="152D3070" w14:textId="77777777" w:rsidR="008C03AC" w:rsidRDefault="008C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Arial" w:hAnsi="Arial" w:cs="Arial"/>
          <w:color w:val="EE0000"/>
        </w:rPr>
      </w:pPr>
    </w:p>
    <w:p w14:paraId="01A806D8" w14:textId="47D92DA1" w:rsidR="008C03AC" w:rsidRPr="00F51B3B" w:rsidRDefault="000375DC" w:rsidP="00F51B3B">
      <w:pPr>
        <w:pStyle w:val="Ttulo1"/>
        <w:jc w:val="center"/>
        <w:rPr>
          <w:rFonts w:ascii="Arial" w:hAnsi="Arial" w:cs="Arial"/>
          <w:b/>
          <w:bCs/>
          <w:color w:val="000000" w:themeColor="text1"/>
          <w:sz w:val="24"/>
          <w:szCs w:val="24"/>
        </w:rPr>
      </w:pPr>
      <w:bookmarkStart w:id="59" w:name="_Toc232418218"/>
      <w:r w:rsidRPr="00F51B3B">
        <w:rPr>
          <w:rFonts w:ascii="Arial" w:hAnsi="Arial" w:cs="Arial"/>
          <w:b/>
          <w:bCs/>
          <w:color w:val="000000" w:themeColor="text1"/>
          <w:sz w:val="24"/>
          <w:szCs w:val="24"/>
        </w:rPr>
        <w:lastRenderedPageBreak/>
        <w:t>Capítulo 3.</w:t>
      </w:r>
      <w:bookmarkEnd w:id="59"/>
    </w:p>
    <w:p w14:paraId="261B2AE4" w14:textId="71B865E8" w:rsidR="008C03AC" w:rsidRPr="00F51B3B" w:rsidRDefault="000375DC" w:rsidP="00F51B3B">
      <w:pPr>
        <w:pStyle w:val="Ttulo1"/>
        <w:jc w:val="center"/>
        <w:rPr>
          <w:rFonts w:ascii="Arial" w:hAnsi="Arial" w:cs="Arial"/>
          <w:b/>
          <w:bCs/>
          <w:color w:val="000000" w:themeColor="text1"/>
          <w:sz w:val="24"/>
          <w:szCs w:val="24"/>
        </w:rPr>
      </w:pPr>
      <w:bookmarkStart w:id="60" w:name="_Toc232418219"/>
      <w:r w:rsidRPr="00F51B3B">
        <w:rPr>
          <w:rFonts w:ascii="Arial" w:hAnsi="Arial" w:cs="Arial"/>
          <w:b/>
          <w:bCs/>
          <w:color w:val="000000" w:themeColor="text1"/>
          <w:sz w:val="24"/>
          <w:szCs w:val="24"/>
        </w:rPr>
        <w:t>Titulación y Registro de Predios de Uso Público a Favor de las Entidades Territoriales</w:t>
      </w:r>
      <w:bookmarkEnd w:id="60"/>
    </w:p>
    <w:p w14:paraId="7B493CED" w14:textId="77777777" w:rsidR="008C03AC" w:rsidRDefault="000375DC">
      <w:pPr>
        <w:spacing w:before="240" w:after="240" w:line="276" w:lineRule="auto"/>
        <w:jc w:val="both"/>
        <w:rPr>
          <w:rFonts w:ascii="Arial" w:eastAsia="Arial" w:hAnsi="Arial" w:cs="Arial"/>
        </w:rPr>
      </w:pPr>
      <w:r>
        <w:rPr>
          <w:rFonts w:ascii="Arial" w:eastAsia="Arial" w:hAnsi="Arial" w:cs="Arial"/>
        </w:rPr>
        <w:t>La titulación y el registro de los predios destinados al uso público son una etapa fundamental en la formalización del espacio público, ya que permiten reconocer jurídicamente la propiedad de estos bienes a favor de los municipios y asegurar su correcta incorporación en los sistemas registral y catastral. Estos predios incluyen, entre otros, vías, parques, plazoletas y edificaciones destinadas a servicios comunitarios, los cuales deben ser registrados cuando estén efectivamente destinados al uso de la comunidad.</w:t>
      </w:r>
    </w:p>
    <w:p w14:paraId="43B33C1B" w14:textId="77777777" w:rsidR="008C03AC" w:rsidRPr="00F51B3B" w:rsidRDefault="000375DC" w:rsidP="00F51B3B">
      <w:pPr>
        <w:pStyle w:val="Ttulo2"/>
        <w:rPr>
          <w:rFonts w:ascii="Arial" w:hAnsi="Arial" w:cs="Arial"/>
          <w:b/>
          <w:bCs/>
          <w:color w:val="000000" w:themeColor="text1"/>
          <w:sz w:val="24"/>
          <w:szCs w:val="24"/>
        </w:rPr>
      </w:pPr>
      <w:bookmarkStart w:id="61" w:name="_Toc232418220"/>
      <w:r w:rsidRPr="00F51B3B">
        <w:rPr>
          <w:rFonts w:ascii="Arial" w:hAnsi="Arial" w:cs="Arial"/>
          <w:b/>
          <w:bCs/>
          <w:color w:val="000000" w:themeColor="text1"/>
          <w:sz w:val="24"/>
          <w:szCs w:val="24"/>
        </w:rPr>
        <w:t>3.1 Procedimiento ante Registradores de Instrumentos Públicos</w:t>
      </w:r>
      <w:bookmarkEnd w:id="61"/>
    </w:p>
    <w:p w14:paraId="4E15BE89" w14:textId="77777777" w:rsidR="008C03AC" w:rsidRDefault="000375DC">
      <w:pPr>
        <w:spacing w:before="240" w:after="240" w:line="276" w:lineRule="auto"/>
        <w:jc w:val="both"/>
        <w:rPr>
          <w:rFonts w:ascii="Arial" w:eastAsia="Arial" w:hAnsi="Arial" w:cs="Arial"/>
        </w:rPr>
      </w:pPr>
      <w:r>
        <w:rPr>
          <w:rFonts w:ascii="Arial" w:eastAsia="Arial" w:hAnsi="Arial" w:cs="Arial"/>
        </w:rPr>
        <w:t>En este marco, el alcalde municipal o quien éste delegue es el encargado de solicitar ante la Oficina de Registro de Instrumentos Públicos la expedición e inscripción del acto administrativo mediante el cual se realiza la titulación de los predios de uso público a favor de la entidad territorial.  Para ello, el municipio debe presentar la documentación técnica y jurídica que permita identificar plenamente el predio y demostrar su destinación al uso público, donde se deberán anexar los siguientes documentos:</w:t>
      </w:r>
    </w:p>
    <w:p w14:paraId="333B68BC" w14:textId="77777777" w:rsidR="008C03AC" w:rsidRDefault="008C03AC">
      <w:pPr>
        <w:spacing w:after="0" w:line="276" w:lineRule="auto"/>
        <w:jc w:val="both"/>
        <w:rPr>
          <w:rFonts w:ascii="Arial" w:eastAsia="Arial" w:hAnsi="Arial" w:cs="Arial"/>
        </w:rPr>
      </w:pPr>
    </w:p>
    <w:p w14:paraId="092DBB68" w14:textId="77777777" w:rsidR="008C03AC" w:rsidRDefault="000375DC">
      <w:pPr>
        <w:numPr>
          <w:ilvl w:val="0"/>
          <w:numId w:val="18"/>
        </w:numPr>
        <w:spacing w:after="0" w:line="276" w:lineRule="auto"/>
        <w:jc w:val="both"/>
        <w:rPr>
          <w:rFonts w:ascii="Arial" w:eastAsia="Arial" w:hAnsi="Arial" w:cs="Arial"/>
        </w:rPr>
      </w:pPr>
      <w:r>
        <w:rPr>
          <w:rFonts w:ascii="Arial" w:eastAsia="Arial" w:hAnsi="Arial" w:cs="Arial"/>
        </w:rPr>
        <w:t xml:space="preserve">Copia en medio físico y digital de la resolución o decreto aprobatorio del proyecto de legalización o urbanización de los predios; cuando se trate de bienes que se encuentran legalizados </w:t>
      </w:r>
      <w:proofErr w:type="gramStart"/>
      <w:r>
        <w:rPr>
          <w:rFonts w:ascii="Arial" w:eastAsia="Arial" w:hAnsi="Arial" w:cs="Arial"/>
        </w:rPr>
        <w:t>urbanísticamente  o</w:t>
      </w:r>
      <w:proofErr w:type="gramEnd"/>
      <w:r>
        <w:rPr>
          <w:rFonts w:ascii="Arial" w:eastAsia="Arial" w:hAnsi="Arial" w:cs="Arial"/>
        </w:rPr>
        <w:t xml:space="preserve"> el documento que haga sus veces.</w:t>
      </w:r>
    </w:p>
    <w:p w14:paraId="3A7B46B8" w14:textId="77777777" w:rsidR="008C03AC" w:rsidRDefault="000375DC">
      <w:pPr>
        <w:numPr>
          <w:ilvl w:val="0"/>
          <w:numId w:val="18"/>
        </w:numPr>
        <w:spacing w:after="0" w:line="276" w:lineRule="auto"/>
        <w:jc w:val="both"/>
        <w:rPr>
          <w:rFonts w:ascii="Arial" w:eastAsia="Arial" w:hAnsi="Arial" w:cs="Arial"/>
        </w:rPr>
      </w:pPr>
      <w:r>
        <w:rPr>
          <w:rFonts w:ascii="Arial" w:eastAsia="Arial" w:hAnsi="Arial" w:cs="Arial"/>
        </w:rPr>
        <w:t xml:space="preserve">Copia en medio físico y digital del </w:t>
      </w:r>
      <w:proofErr w:type="spellStart"/>
      <w:r>
        <w:rPr>
          <w:rFonts w:ascii="Arial" w:eastAsia="Arial" w:hAnsi="Arial" w:cs="Arial"/>
        </w:rPr>
        <w:t>plano</w:t>
      </w:r>
      <w:proofErr w:type="spellEnd"/>
      <w:r>
        <w:rPr>
          <w:rFonts w:ascii="Arial" w:eastAsia="Arial" w:hAnsi="Arial" w:cs="Arial"/>
        </w:rPr>
        <w:t xml:space="preserve"> urbanístico aprobado, con la indicación de cada zona de uso público con áreas y mojones o, en su defecto, un plano certificado por el gestor catastral en el que se identifique linderos, coordenadas y la cabida superficiaria del predio.</w:t>
      </w:r>
    </w:p>
    <w:p w14:paraId="2654D4B1" w14:textId="77777777" w:rsidR="008C03AC" w:rsidRDefault="000375DC">
      <w:pPr>
        <w:numPr>
          <w:ilvl w:val="0"/>
          <w:numId w:val="18"/>
        </w:numPr>
        <w:spacing w:after="0" w:line="276" w:lineRule="auto"/>
        <w:jc w:val="both"/>
        <w:rPr>
          <w:rFonts w:ascii="Arial" w:eastAsia="Arial" w:hAnsi="Arial" w:cs="Arial"/>
        </w:rPr>
      </w:pPr>
      <w:r>
        <w:rPr>
          <w:rFonts w:ascii="Arial" w:eastAsia="Arial" w:hAnsi="Arial" w:cs="Arial"/>
        </w:rPr>
        <w:t xml:space="preserve">Acta de recibo suscrita por el titular del derecho de dominio o por la Junta de Acción Comunal, o acta de toma de posesión practicada por el alcalde municipal. </w:t>
      </w:r>
    </w:p>
    <w:p w14:paraId="1F704798" w14:textId="77777777" w:rsidR="008C03AC" w:rsidRDefault="000375DC">
      <w:pPr>
        <w:numPr>
          <w:ilvl w:val="0"/>
          <w:numId w:val="18"/>
        </w:numPr>
        <w:spacing w:after="0" w:line="276" w:lineRule="auto"/>
        <w:jc w:val="both"/>
        <w:rPr>
          <w:rFonts w:ascii="Arial" w:eastAsia="Arial" w:hAnsi="Arial" w:cs="Arial"/>
        </w:rPr>
      </w:pPr>
      <w:r>
        <w:rPr>
          <w:rFonts w:ascii="Arial" w:eastAsia="Arial" w:hAnsi="Arial" w:cs="Arial"/>
        </w:rPr>
        <w:t>Ficha predial del predio de mayor extensión, documento equivalente o constancia de su no existencia.</w:t>
      </w:r>
    </w:p>
    <w:p w14:paraId="31775C06" w14:textId="77777777" w:rsidR="008C03AC" w:rsidRDefault="000375DC">
      <w:pPr>
        <w:spacing w:before="240" w:after="240" w:line="276" w:lineRule="auto"/>
        <w:jc w:val="both"/>
        <w:rPr>
          <w:rFonts w:ascii="Arial" w:eastAsia="Arial" w:hAnsi="Arial" w:cs="Arial"/>
        </w:rPr>
      </w:pPr>
      <w:r>
        <w:rPr>
          <w:rFonts w:ascii="Arial" w:eastAsia="Arial" w:hAnsi="Arial" w:cs="Arial"/>
        </w:rPr>
        <w:lastRenderedPageBreak/>
        <w:t>Con base en esta solicitud, los registradores de instrumentos públicos deben inscribir dichos actos administrativos y reconocer el derecho de dominio a favor de las entidades territoriales, incluso cuando los predios no hayan sido objeto de procesos formales de legalización urbanística, siempre que su uso público esté claramente acreditado.</w:t>
      </w:r>
    </w:p>
    <w:p w14:paraId="4B1228CC" w14:textId="77777777" w:rsidR="008C03AC" w:rsidRDefault="000375DC">
      <w:pPr>
        <w:spacing w:before="240" w:after="240" w:line="276" w:lineRule="auto"/>
        <w:jc w:val="both"/>
        <w:rPr>
          <w:rFonts w:ascii="Arial" w:eastAsia="Arial" w:hAnsi="Arial" w:cs="Arial"/>
        </w:rPr>
      </w:pPr>
      <w:r>
        <w:rPr>
          <w:rFonts w:ascii="Arial" w:eastAsia="Arial" w:hAnsi="Arial" w:cs="Arial"/>
        </w:rPr>
        <w:t>Los procedimientos para llevar a cabo esta titulación están definidos en los artículos 20 y 21 de la Ley 2044 de 2020 y dependen de la situación urbanística del sector. Cuando se trata de zonas legalizadas, el proceso se basa en planos y documentos oficiales; en zonas no legalizadas, se fundamenta en el uso real del espacio por parte de la comunidad, apoyado en actas y levantamientos topográficos.</w:t>
      </w:r>
    </w:p>
    <w:p w14:paraId="12B3F30D" w14:textId="77777777" w:rsidR="008C03AC" w:rsidRDefault="008C03AC">
      <w:pPr>
        <w:spacing w:after="0" w:line="276" w:lineRule="auto"/>
        <w:jc w:val="center"/>
        <w:rPr>
          <w:rFonts w:ascii="Arial" w:eastAsia="Arial" w:hAnsi="Arial" w:cs="Arial"/>
          <w:b/>
          <w:bCs/>
        </w:rPr>
      </w:pPr>
    </w:p>
    <w:p w14:paraId="338E7DE6" w14:textId="77777777" w:rsidR="001923ED" w:rsidRDefault="001923ED">
      <w:pPr>
        <w:spacing w:after="0" w:line="276" w:lineRule="auto"/>
        <w:jc w:val="center"/>
        <w:rPr>
          <w:rFonts w:ascii="Arial" w:eastAsia="Arial" w:hAnsi="Arial" w:cs="Arial"/>
          <w:b/>
          <w:bCs/>
        </w:rPr>
      </w:pPr>
    </w:p>
    <w:p w14:paraId="2DB1D215" w14:textId="77777777" w:rsidR="001923ED" w:rsidRDefault="001923ED">
      <w:pPr>
        <w:spacing w:after="0" w:line="276" w:lineRule="auto"/>
        <w:jc w:val="center"/>
        <w:rPr>
          <w:rFonts w:ascii="Arial" w:eastAsia="Arial" w:hAnsi="Arial" w:cs="Arial"/>
          <w:b/>
          <w:bCs/>
        </w:rPr>
      </w:pPr>
    </w:p>
    <w:p w14:paraId="2681917E" w14:textId="77777777" w:rsidR="001923ED" w:rsidRDefault="001923ED">
      <w:pPr>
        <w:spacing w:after="0" w:line="276" w:lineRule="auto"/>
        <w:jc w:val="center"/>
        <w:rPr>
          <w:rFonts w:ascii="Arial" w:eastAsia="Arial" w:hAnsi="Arial" w:cs="Arial"/>
          <w:b/>
          <w:bCs/>
        </w:rPr>
      </w:pPr>
    </w:p>
    <w:p w14:paraId="3A6F4C29" w14:textId="77777777" w:rsidR="001923ED" w:rsidRDefault="001923ED">
      <w:pPr>
        <w:spacing w:after="0" w:line="276" w:lineRule="auto"/>
        <w:jc w:val="center"/>
        <w:rPr>
          <w:rFonts w:ascii="Arial" w:eastAsia="Arial" w:hAnsi="Arial" w:cs="Arial"/>
          <w:b/>
          <w:bCs/>
        </w:rPr>
      </w:pPr>
    </w:p>
    <w:p w14:paraId="03BAAA8B" w14:textId="77777777" w:rsidR="001923ED" w:rsidRDefault="001923ED">
      <w:pPr>
        <w:spacing w:after="0" w:line="276" w:lineRule="auto"/>
        <w:jc w:val="center"/>
        <w:rPr>
          <w:rFonts w:ascii="Arial" w:eastAsia="Arial" w:hAnsi="Arial" w:cs="Arial"/>
          <w:b/>
          <w:bCs/>
        </w:rPr>
      </w:pPr>
    </w:p>
    <w:p w14:paraId="007949CB" w14:textId="77777777" w:rsidR="001923ED" w:rsidRDefault="001923ED">
      <w:pPr>
        <w:spacing w:after="0" w:line="276" w:lineRule="auto"/>
        <w:jc w:val="center"/>
        <w:rPr>
          <w:rFonts w:ascii="Arial" w:eastAsia="Arial" w:hAnsi="Arial" w:cs="Arial"/>
          <w:b/>
          <w:bCs/>
        </w:rPr>
      </w:pPr>
    </w:p>
    <w:p w14:paraId="40313F20" w14:textId="77777777" w:rsidR="001923ED" w:rsidRDefault="001923ED">
      <w:pPr>
        <w:spacing w:after="0" w:line="276" w:lineRule="auto"/>
        <w:jc w:val="center"/>
        <w:rPr>
          <w:rFonts w:ascii="Arial" w:eastAsia="Arial" w:hAnsi="Arial" w:cs="Arial"/>
          <w:b/>
          <w:bCs/>
        </w:rPr>
      </w:pPr>
    </w:p>
    <w:p w14:paraId="4F840DD0" w14:textId="77777777" w:rsidR="001923ED" w:rsidRDefault="001923ED">
      <w:pPr>
        <w:spacing w:after="0" w:line="276" w:lineRule="auto"/>
        <w:jc w:val="center"/>
        <w:rPr>
          <w:rFonts w:ascii="Arial" w:eastAsia="Arial" w:hAnsi="Arial" w:cs="Arial"/>
          <w:b/>
          <w:bCs/>
        </w:rPr>
      </w:pPr>
    </w:p>
    <w:p w14:paraId="202DFD77" w14:textId="77777777" w:rsidR="001923ED" w:rsidRDefault="001923ED">
      <w:pPr>
        <w:spacing w:after="0" w:line="276" w:lineRule="auto"/>
        <w:jc w:val="center"/>
        <w:rPr>
          <w:rFonts w:ascii="Arial" w:eastAsia="Arial" w:hAnsi="Arial" w:cs="Arial"/>
          <w:b/>
          <w:bCs/>
        </w:rPr>
      </w:pPr>
    </w:p>
    <w:p w14:paraId="7B9E3888" w14:textId="77777777" w:rsidR="001923ED" w:rsidRDefault="001923ED">
      <w:pPr>
        <w:spacing w:after="0" w:line="276" w:lineRule="auto"/>
        <w:jc w:val="center"/>
        <w:rPr>
          <w:rFonts w:ascii="Arial" w:eastAsia="Arial" w:hAnsi="Arial" w:cs="Arial"/>
          <w:b/>
          <w:bCs/>
        </w:rPr>
      </w:pPr>
    </w:p>
    <w:p w14:paraId="0E70A7B3" w14:textId="77777777" w:rsidR="001923ED" w:rsidRDefault="001923ED">
      <w:pPr>
        <w:spacing w:after="0" w:line="276" w:lineRule="auto"/>
        <w:jc w:val="center"/>
        <w:rPr>
          <w:rFonts w:ascii="Arial" w:eastAsia="Arial" w:hAnsi="Arial" w:cs="Arial"/>
          <w:b/>
          <w:bCs/>
        </w:rPr>
      </w:pPr>
    </w:p>
    <w:p w14:paraId="71B36CCF" w14:textId="77777777" w:rsidR="001923ED" w:rsidRDefault="001923ED">
      <w:pPr>
        <w:spacing w:after="0" w:line="276" w:lineRule="auto"/>
        <w:jc w:val="center"/>
        <w:rPr>
          <w:rFonts w:ascii="Arial" w:eastAsia="Arial" w:hAnsi="Arial" w:cs="Arial"/>
          <w:b/>
          <w:bCs/>
        </w:rPr>
      </w:pPr>
    </w:p>
    <w:p w14:paraId="500445BD" w14:textId="77777777" w:rsidR="001923ED" w:rsidRDefault="001923ED">
      <w:pPr>
        <w:spacing w:after="0" w:line="276" w:lineRule="auto"/>
        <w:jc w:val="center"/>
        <w:rPr>
          <w:rFonts w:ascii="Arial" w:eastAsia="Arial" w:hAnsi="Arial" w:cs="Arial"/>
          <w:b/>
          <w:bCs/>
        </w:rPr>
      </w:pPr>
    </w:p>
    <w:p w14:paraId="0B248676" w14:textId="77777777" w:rsidR="001923ED" w:rsidRDefault="001923ED">
      <w:pPr>
        <w:spacing w:after="0" w:line="276" w:lineRule="auto"/>
        <w:jc w:val="center"/>
        <w:rPr>
          <w:rFonts w:ascii="Arial" w:eastAsia="Arial" w:hAnsi="Arial" w:cs="Arial"/>
          <w:b/>
          <w:bCs/>
        </w:rPr>
      </w:pPr>
    </w:p>
    <w:p w14:paraId="26C1035C" w14:textId="77777777" w:rsidR="001923ED" w:rsidRDefault="001923ED">
      <w:pPr>
        <w:spacing w:after="0" w:line="276" w:lineRule="auto"/>
        <w:jc w:val="center"/>
        <w:rPr>
          <w:rFonts w:ascii="Arial" w:eastAsia="Arial" w:hAnsi="Arial" w:cs="Arial"/>
          <w:b/>
          <w:bCs/>
        </w:rPr>
      </w:pPr>
    </w:p>
    <w:p w14:paraId="1006618B" w14:textId="77777777" w:rsidR="001923ED" w:rsidRDefault="001923ED">
      <w:pPr>
        <w:spacing w:after="0" w:line="276" w:lineRule="auto"/>
        <w:jc w:val="center"/>
        <w:rPr>
          <w:rFonts w:ascii="Arial" w:eastAsia="Arial" w:hAnsi="Arial" w:cs="Arial"/>
          <w:b/>
          <w:bCs/>
        </w:rPr>
      </w:pPr>
    </w:p>
    <w:p w14:paraId="1B3CE84B" w14:textId="77777777" w:rsidR="001923ED" w:rsidRDefault="001923ED">
      <w:pPr>
        <w:spacing w:after="0" w:line="276" w:lineRule="auto"/>
        <w:jc w:val="center"/>
        <w:rPr>
          <w:rFonts w:ascii="Arial" w:eastAsia="Arial" w:hAnsi="Arial" w:cs="Arial"/>
          <w:b/>
          <w:bCs/>
        </w:rPr>
      </w:pPr>
    </w:p>
    <w:p w14:paraId="756C2228" w14:textId="77777777" w:rsidR="001923ED" w:rsidRDefault="001923ED">
      <w:pPr>
        <w:spacing w:after="0" w:line="276" w:lineRule="auto"/>
        <w:jc w:val="center"/>
        <w:rPr>
          <w:rFonts w:ascii="Arial" w:eastAsia="Arial" w:hAnsi="Arial" w:cs="Arial"/>
          <w:b/>
          <w:bCs/>
        </w:rPr>
      </w:pPr>
    </w:p>
    <w:p w14:paraId="26AD22AA" w14:textId="77777777" w:rsidR="001923ED" w:rsidRDefault="001923ED">
      <w:pPr>
        <w:spacing w:after="0" w:line="276" w:lineRule="auto"/>
        <w:jc w:val="center"/>
        <w:rPr>
          <w:rFonts w:ascii="Arial" w:eastAsia="Arial" w:hAnsi="Arial" w:cs="Arial"/>
          <w:b/>
          <w:bCs/>
        </w:rPr>
      </w:pPr>
    </w:p>
    <w:p w14:paraId="351B4763" w14:textId="77777777" w:rsidR="001923ED" w:rsidRDefault="001923ED">
      <w:pPr>
        <w:spacing w:after="0" w:line="276" w:lineRule="auto"/>
        <w:jc w:val="center"/>
        <w:rPr>
          <w:rFonts w:ascii="Arial" w:eastAsia="Arial" w:hAnsi="Arial" w:cs="Arial"/>
          <w:b/>
          <w:bCs/>
        </w:rPr>
      </w:pPr>
    </w:p>
    <w:p w14:paraId="5C7D7FDD" w14:textId="77777777" w:rsidR="001923ED" w:rsidRDefault="001923ED">
      <w:pPr>
        <w:spacing w:after="0" w:line="276" w:lineRule="auto"/>
        <w:jc w:val="center"/>
        <w:rPr>
          <w:rFonts w:ascii="Arial" w:eastAsia="Arial" w:hAnsi="Arial" w:cs="Arial"/>
          <w:b/>
          <w:bCs/>
        </w:rPr>
      </w:pPr>
    </w:p>
    <w:p w14:paraId="56085377" w14:textId="77777777" w:rsidR="001923ED" w:rsidRDefault="001923ED">
      <w:pPr>
        <w:spacing w:after="0" w:line="276" w:lineRule="auto"/>
        <w:jc w:val="center"/>
        <w:rPr>
          <w:rFonts w:ascii="Arial" w:eastAsia="Arial" w:hAnsi="Arial" w:cs="Arial"/>
          <w:b/>
          <w:bCs/>
        </w:rPr>
      </w:pPr>
    </w:p>
    <w:p w14:paraId="2415EA29" w14:textId="77777777" w:rsidR="001923ED" w:rsidRDefault="001923ED">
      <w:pPr>
        <w:spacing w:after="0" w:line="276" w:lineRule="auto"/>
        <w:jc w:val="center"/>
        <w:rPr>
          <w:rFonts w:ascii="Arial" w:eastAsia="Arial" w:hAnsi="Arial" w:cs="Arial"/>
          <w:b/>
          <w:bCs/>
        </w:rPr>
      </w:pPr>
    </w:p>
    <w:p w14:paraId="5605BFAA" w14:textId="77777777" w:rsidR="001923ED" w:rsidRDefault="001923ED">
      <w:pPr>
        <w:spacing w:after="0" w:line="276" w:lineRule="auto"/>
        <w:jc w:val="center"/>
        <w:rPr>
          <w:rFonts w:ascii="Arial" w:eastAsia="Arial" w:hAnsi="Arial" w:cs="Arial"/>
          <w:b/>
          <w:bCs/>
        </w:rPr>
      </w:pPr>
    </w:p>
    <w:p w14:paraId="1C800481" w14:textId="1C8C924B" w:rsidR="008C03AC" w:rsidRPr="007733E7" w:rsidRDefault="007733E7" w:rsidP="007733E7">
      <w:pPr>
        <w:pStyle w:val="Descripcin"/>
        <w:jc w:val="center"/>
        <w:rPr>
          <w:rFonts w:ascii="Arial" w:eastAsia="Arial" w:hAnsi="Arial" w:cs="Arial"/>
          <w:b/>
          <w:bCs/>
          <w:i w:val="0"/>
          <w:iCs w:val="0"/>
          <w:color w:val="000000" w:themeColor="text1"/>
          <w:sz w:val="24"/>
          <w:szCs w:val="24"/>
        </w:rPr>
      </w:pPr>
      <w:bookmarkStart w:id="62" w:name="_Toc232418226"/>
      <w:r w:rsidRPr="007733E7">
        <w:rPr>
          <w:rFonts w:ascii="Arial" w:hAnsi="Arial" w:cs="Arial"/>
          <w:b/>
          <w:bCs/>
          <w:i w:val="0"/>
          <w:iCs w:val="0"/>
          <w:color w:val="000000" w:themeColor="text1"/>
          <w:sz w:val="24"/>
          <w:szCs w:val="24"/>
        </w:rPr>
        <w:lastRenderedPageBreak/>
        <w:t xml:space="preserve">Gráfica </w:t>
      </w:r>
      <w:r w:rsidRPr="007733E7">
        <w:rPr>
          <w:rFonts w:ascii="Arial" w:hAnsi="Arial" w:cs="Arial"/>
          <w:b/>
          <w:bCs/>
          <w:i w:val="0"/>
          <w:iCs w:val="0"/>
          <w:color w:val="000000" w:themeColor="text1"/>
          <w:sz w:val="24"/>
          <w:szCs w:val="24"/>
        </w:rPr>
        <w:fldChar w:fldCharType="begin"/>
      </w:r>
      <w:r w:rsidRPr="007733E7">
        <w:rPr>
          <w:rFonts w:ascii="Arial" w:hAnsi="Arial" w:cs="Arial"/>
          <w:b/>
          <w:bCs/>
          <w:i w:val="0"/>
          <w:iCs w:val="0"/>
          <w:color w:val="000000" w:themeColor="text1"/>
          <w:sz w:val="24"/>
          <w:szCs w:val="24"/>
        </w:rPr>
        <w:instrText xml:space="preserve"> SEQ Gráfica \* ARABIC </w:instrText>
      </w:r>
      <w:r w:rsidRPr="007733E7">
        <w:rPr>
          <w:rFonts w:ascii="Arial" w:hAnsi="Arial" w:cs="Arial"/>
          <w:b/>
          <w:bCs/>
          <w:i w:val="0"/>
          <w:iCs w:val="0"/>
          <w:color w:val="000000" w:themeColor="text1"/>
          <w:sz w:val="24"/>
          <w:szCs w:val="24"/>
        </w:rPr>
        <w:fldChar w:fldCharType="separate"/>
      </w:r>
      <w:r w:rsidRPr="007733E7">
        <w:rPr>
          <w:rFonts w:ascii="Arial" w:hAnsi="Arial" w:cs="Arial"/>
          <w:b/>
          <w:bCs/>
          <w:i w:val="0"/>
          <w:iCs w:val="0"/>
          <w:noProof/>
          <w:color w:val="000000" w:themeColor="text1"/>
          <w:sz w:val="24"/>
          <w:szCs w:val="24"/>
        </w:rPr>
        <w:t>5</w:t>
      </w:r>
      <w:r w:rsidRPr="007733E7">
        <w:rPr>
          <w:rFonts w:ascii="Arial" w:hAnsi="Arial" w:cs="Arial"/>
          <w:b/>
          <w:bCs/>
          <w:i w:val="0"/>
          <w:iCs w:val="0"/>
          <w:color w:val="000000" w:themeColor="text1"/>
          <w:sz w:val="24"/>
          <w:szCs w:val="24"/>
        </w:rPr>
        <w:fldChar w:fldCharType="end"/>
      </w:r>
      <w:r w:rsidRPr="007733E7">
        <w:rPr>
          <w:rFonts w:ascii="Arial" w:hAnsi="Arial" w:cs="Arial"/>
          <w:b/>
          <w:bCs/>
          <w:i w:val="0"/>
          <w:iCs w:val="0"/>
          <w:color w:val="000000" w:themeColor="text1"/>
          <w:sz w:val="24"/>
          <w:szCs w:val="24"/>
        </w:rPr>
        <w:t>. Tipos de titulaciones de predios de uso público a favor de Entidades Territoriales</w:t>
      </w:r>
      <w:bookmarkEnd w:id="62"/>
    </w:p>
    <w:p w14:paraId="763986FA" w14:textId="77777777" w:rsidR="008C03AC" w:rsidRDefault="000375DC">
      <w:pPr>
        <w:spacing w:before="240" w:after="240" w:line="276" w:lineRule="auto"/>
        <w:jc w:val="center"/>
        <w:rPr>
          <w:rFonts w:ascii="Arial" w:eastAsia="Arial" w:hAnsi="Arial" w:cs="Arial"/>
        </w:rPr>
      </w:pPr>
      <w:r>
        <w:rPr>
          <w:rFonts w:ascii="Arial" w:eastAsia="Arial" w:hAnsi="Arial" w:cs="Arial"/>
          <w:noProof/>
        </w:rPr>
        <w:drawing>
          <wp:inline distT="114300" distB="114300" distL="114300" distR="114300" wp14:anchorId="31D81D2A" wp14:editId="4AE3B524">
            <wp:extent cx="3531600" cy="5912134"/>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3531600" cy="5912134"/>
                    </a:xfrm>
                    <a:prstGeom prst="rect">
                      <a:avLst/>
                    </a:prstGeom>
                    <a:ln/>
                  </pic:spPr>
                </pic:pic>
              </a:graphicData>
            </a:graphic>
          </wp:inline>
        </w:drawing>
      </w:r>
    </w:p>
    <w:p w14:paraId="7B06AD02" w14:textId="3D1C0DD5" w:rsidR="001923ED" w:rsidRPr="001923ED" w:rsidRDefault="001923ED">
      <w:pPr>
        <w:spacing w:after="0" w:line="276" w:lineRule="auto"/>
        <w:jc w:val="center"/>
        <w:rPr>
          <w:rFonts w:ascii="Arial" w:eastAsia="Arial" w:hAnsi="Arial" w:cs="Arial"/>
          <w:sz w:val="18"/>
          <w:szCs w:val="18"/>
        </w:rPr>
      </w:pPr>
      <w:r w:rsidRPr="001923ED">
        <w:rPr>
          <w:rFonts w:ascii="Arial" w:eastAsia="Arial" w:hAnsi="Arial" w:cs="Arial"/>
          <w:sz w:val="18"/>
          <w:szCs w:val="18"/>
        </w:rPr>
        <w:t>Fuente: elaboración propia</w:t>
      </w:r>
    </w:p>
    <w:p w14:paraId="7EE2889F" w14:textId="77777777" w:rsidR="001923ED" w:rsidRDefault="001923ED">
      <w:pPr>
        <w:spacing w:after="0" w:line="276" w:lineRule="auto"/>
        <w:jc w:val="center"/>
        <w:rPr>
          <w:rFonts w:ascii="Arial" w:eastAsia="Arial" w:hAnsi="Arial" w:cs="Arial"/>
          <w:b/>
          <w:bCs/>
        </w:rPr>
      </w:pPr>
    </w:p>
    <w:p w14:paraId="44D5E84D" w14:textId="77777777" w:rsidR="001923ED" w:rsidRDefault="001923ED">
      <w:pPr>
        <w:spacing w:after="0" w:line="276" w:lineRule="auto"/>
        <w:jc w:val="center"/>
        <w:rPr>
          <w:rFonts w:ascii="Arial" w:eastAsia="Arial" w:hAnsi="Arial" w:cs="Arial"/>
          <w:b/>
          <w:bCs/>
        </w:rPr>
      </w:pPr>
    </w:p>
    <w:p w14:paraId="24A41D54" w14:textId="77777777" w:rsidR="001923ED" w:rsidRDefault="001923ED">
      <w:pPr>
        <w:spacing w:after="0" w:line="276" w:lineRule="auto"/>
        <w:jc w:val="center"/>
        <w:rPr>
          <w:rFonts w:ascii="Arial" w:eastAsia="Arial" w:hAnsi="Arial" w:cs="Arial"/>
          <w:b/>
          <w:bCs/>
        </w:rPr>
      </w:pPr>
    </w:p>
    <w:p w14:paraId="17FC14EA" w14:textId="21F754B4" w:rsidR="008C03AC" w:rsidRDefault="000375DC" w:rsidP="001923ED">
      <w:pPr>
        <w:pStyle w:val="Ttulo1"/>
        <w:jc w:val="center"/>
        <w:rPr>
          <w:rFonts w:ascii="Arial" w:hAnsi="Arial" w:cs="Arial"/>
          <w:b/>
          <w:bCs/>
          <w:color w:val="000000" w:themeColor="text1"/>
          <w:sz w:val="24"/>
          <w:szCs w:val="24"/>
        </w:rPr>
      </w:pPr>
      <w:bookmarkStart w:id="63" w:name="_Toc232418221"/>
      <w:r w:rsidRPr="001923ED">
        <w:rPr>
          <w:rFonts w:ascii="Arial" w:hAnsi="Arial" w:cs="Arial"/>
          <w:b/>
          <w:bCs/>
          <w:color w:val="000000" w:themeColor="text1"/>
          <w:sz w:val="24"/>
          <w:szCs w:val="24"/>
        </w:rPr>
        <w:lastRenderedPageBreak/>
        <w:t>Anexos</w:t>
      </w:r>
      <w:bookmarkEnd w:id="63"/>
    </w:p>
    <w:p w14:paraId="0A6293D9" w14:textId="77777777" w:rsidR="001923ED" w:rsidRPr="001923ED" w:rsidRDefault="001923ED" w:rsidP="001923ED"/>
    <w:p w14:paraId="727A1E17" w14:textId="77777777" w:rsidR="008C03AC" w:rsidRDefault="000375DC">
      <w:pPr>
        <w:spacing w:line="276" w:lineRule="auto"/>
        <w:jc w:val="center"/>
        <w:rPr>
          <w:rFonts w:ascii="Arial" w:eastAsia="Arial" w:hAnsi="Arial" w:cs="Arial"/>
          <w:b/>
          <w:bCs/>
        </w:rPr>
      </w:pPr>
      <w:r>
        <w:rPr>
          <w:rFonts w:ascii="Arial" w:eastAsia="Arial" w:hAnsi="Arial" w:cs="Arial"/>
          <w:b/>
          <w:bCs/>
        </w:rPr>
        <w:t xml:space="preserve">Anexo 1.  Marco normativo </w:t>
      </w:r>
    </w:p>
    <w:p w14:paraId="51E1491F" w14:textId="24E8648C" w:rsidR="008C03AC" w:rsidRDefault="000375DC">
      <w:pPr>
        <w:spacing w:after="0" w:line="276" w:lineRule="auto"/>
        <w:jc w:val="center"/>
        <w:rPr>
          <w:rFonts w:ascii="Arial" w:eastAsia="Arial" w:hAnsi="Arial" w:cs="Arial"/>
          <w:b/>
          <w:bCs/>
        </w:rPr>
      </w:pPr>
      <w:r>
        <w:rPr>
          <w:rFonts w:ascii="Arial" w:eastAsia="Arial" w:hAnsi="Arial" w:cs="Arial"/>
          <w:b/>
          <w:bCs/>
        </w:rPr>
        <w:t>Disposiciones legales que regulan los bienes inmuebles públicos en los municipios</w:t>
      </w:r>
    </w:p>
    <w:p w14:paraId="4ABF1256" w14:textId="77777777" w:rsidR="008C03AC" w:rsidRDefault="008C03AC">
      <w:pPr>
        <w:spacing w:after="0" w:line="276" w:lineRule="auto"/>
        <w:jc w:val="center"/>
        <w:rPr>
          <w:rFonts w:ascii="Arial" w:eastAsia="Arial" w:hAnsi="Arial" w:cs="Arial"/>
          <w:b/>
          <w:bCs/>
        </w:rPr>
      </w:pPr>
    </w:p>
    <w:tbl>
      <w:tblPr>
        <w:tblStyle w:val="a8"/>
        <w:tblW w:w="886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80"/>
        <w:gridCol w:w="4439"/>
        <w:gridCol w:w="3346"/>
      </w:tblGrid>
      <w:tr w:rsidR="008C03AC" w14:paraId="757E8E83" w14:textId="77777777">
        <w:trPr>
          <w:trHeight w:val="590"/>
          <w:jc w:val="center"/>
        </w:trPr>
        <w:tc>
          <w:tcPr>
            <w:tcW w:w="8865"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vAlign w:val="center"/>
          </w:tcPr>
          <w:p w14:paraId="1F2F528C" w14:textId="77777777" w:rsidR="008C03AC" w:rsidRDefault="000375DC">
            <w:pPr>
              <w:spacing w:after="0" w:line="276" w:lineRule="auto"/>
              <w:jc w:val="center"/>
              <w:rPr>
                <w:rFonts w:ascii="Arial" w:eastAsia="Arial" w:hAnsi="Arial" w:cs="Arial"/>
                <w:b/>
                <w:bCs/>
              </w:rPr>
            </w:pPr>
            <w:r>
              <w:rPr>
                <w:rFonts w:ascii="Arial" w:eastAsia="Arial" w:hAnsi="Arial" w:cs="Arial"/>
                <w:b/>
                <w:bCs/>
              </w:rPr>
              <w:t>Constitución Política</w:t>
            </w:r>
          </w:p>
        </w:tc>
      </w:tr>
      <w:tr w:rsidR="008C03AC" w14:paraId="3B450010" w14:textId="77777777">
        <w:trPr>
          <w:trHeight w:val="555"/>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132E26A3" w14:textId="77777777" w:rsidR="008C03AC" w:rsidRDefault="008C03AC">
            <w:pPr>
              <w:spacing w:after="0" w:line="276" w:lineRule="auto"/>
              <w:jc w:val="center"/>
              <w:rPr>
                <w:rFonts w:ascii="Arial" w:eastAsia="Arial" w:hAnsi="Arial" w:cs="Arial"/>
                <w:b/>
                <w:bCs/>
              </w:rPr>
            </w:pPr>
          </w:p>
        </w:tc>
        <w:tc>
          <w:tcPr>
            <w:tcW w:w="4439" w:type="dxa"/>
            <w:tcBorders>
              <w:bottom w:val="single" w:sz="8" w:space="0" w:color="000000"/>
              <w:right w:val="single" w:sz="8" w:space="0" w:color="000000"/>
            </w:tcBorders>
            <w:tcMar>
              <w:top w:w="0" w:type="dxa"/>
              <w:left w:w="100" w:type="dxa"/>
              <w:bottom w:w="0" w:type="dxa"/>
              <w:right w:w="100" w:type="dxa"/>
            </w:tcMar>
            <w:vAlign w:val="center"/>
          </w:tcPr>
          <w:p w14:paraId="6C8CF62E" w14:textId="77777777" w:rsidR="008C03AC" w:rsidRDefault="000375DC">
            <w:pPr>
              <w:spacing w:after="0" w:line="276" w:lineRule="auto"/>
              <w:jc w:val="center"/>
              <w:rPr>
                <w:rFonts w:ascii="Arial" w:eastAsia="Arial" w:hAnsi="Arial" w:cs="Arial"/>
                <w:b/>
                <w:bCs/>
              </w:rPr>
            </w:pPr>
            <w:r>
              <w:rPr>
                <w:rFonts w:ascii="Arial" w:eastAsia="Arial" w:hAnsi="Arial" w:cs="Arial"/>
                <w:b/>
                <w:bCs/>
              </w:rPr>
              <w:t>Contenido</w:t>
            </w:r>
          </w:p>
        </w:tc>
        <w:tc>
          <w:tcPr>
            <w:tcW w:w="3346" w:type="dxa"/>
            <w:tcBorders>
              <w:bottom w:val="single" w:sz="8" w:space="0" w:color="000000"/>
              <w:right w:val="single" w:sz="8" w:space="0" w:color="000000"/>
            </w:tcBorders>
            <w:tcMar>
              <w:top w:w="0" w:type="dxa"/>
              <w:left w:w="100" w:type="dxa"/>
              <w:bottom w:w="0" w:type="dxa"/>
              <w:right w:w="100" w:type="dxa"/>
            </w:tcMar>
            <w:vAlign w:val="center"/>
          </w:tcPr>
          <w:p w14:paraId="76CD4109" w14:textId="77777777" w:rsidR="008C03AC" w:rsidRDefault="000375DC">
            <w:pPr>
              <w:spacing w:after="0" w:line="276" w:lineRule="auto"/>
              <w:jc w:val="center"/>
              <w:rPr>
                <w:rFonts w:ascii="Arial" w:eastAsia="Arial" w:hAnsi="Arial" w:cs="Arial"/>
                <w:b/>
                <w:bCs/>
              </w:rPr>
            </w:pPr>
            <w:r>
              <w:rPr>
                <w:rFonts w:ascii="Arial" w:eastAsia="Arial" w:hAnsi="Arial" w:cs="Arial"/>
                <w:b/>
                <w:bCs/>
              </w:rPr>
              <w:t>Enfoque Principal</w:t>
            </w:r>
          </w:p>
        </w:tc>
      </w:tr>
      <w:tr w:rsidR="008C03AC" w14:paraId="5A354A6B" w14:textId="77777777">
        <w:trPr>
          <w:trHeight w:val="761"/>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61204126" w14:textId="77777777" w:rsidR="008C03AC" w:rsidRDefault="008C03AC">
            <w:pPr>
              <w:spacing w:after="0" w:line="276" w:lineRule="auto"/>
              <w:jc w:val="both"/>
              <w:rPr>
                <w:rFonts w:ascii="Arial" w:eastAsia="Arial" w:hAnsi="Arial" w:cs="Arial"/>
                <w:b/>
                <w:bCs/>
              </w:rPr>
            </w:pPr>
          </w:p>
          <w:p w14:paraId="2D7038C1" w14:textId="77777777" w:rsidR="008C03AC" w:rsidRDefault="000375DC">
            <w:pPr>
              <w:spacing w:after="0" w:line="276" w:lineRule="auto"/>
              <w:jc w:val="center"/>
              <w:rPr>
                <w:rFonts w:ascii="Arial" w:eastAsia="Arial" w:hAnsi="Arial" w:cs="Arial"/>
                <w:b/>
                <w:bCs/>
              </w:rPr>
            </w:pPr>
            <w:r>
              <w:rPr>
                <w:rFonts w:ascii="Arial" w:eastAsia="Arial" w:hAnsi="Arial" w:cs="Arial"/>
                <w:b/>
                <w:bCs/>
              </w:rPr>
              <w:t>58</w:t>
            </w:r>
          </w:p>
        </w:tc>
        <w:tc>
          <w:tcPr>
            <w:tcW w:w="4439" w:type="dxa"/>
            <w:tcBorders>
              <w:bottom w:val="single" w:sz="8" w:space="0" w:color="000000"/>
              <w:right w:val="single" w:sz="8" w:space="0" w:color="000000"/>
            </w:tcBorders>
            <w:tcMar>
              <w:top w:w="0" w:type="dxa"/>
              <w:left w:w="100" w:type="dxa"/>
              <w:bottom w:w="0" w:type="dxa"/>
              <w:right w:w="100" w:type="dxa"/>
            </w:tcMar>
            <w:vAlign w:val="center"/>
          </w:tcPr>
          <w:p w14:paraId="453E17CF" w14:textId="77777777" w:rsidR="008C03AC" w:rsidRDefault="000375DC">
            <w:pPr>
              <w:spacing w:after="0" w:line="276" w:lineRule="auto"/>
              <w:jc w:val="both"/>
              <w:rPr>
                <w:rFonts w:ascii="Arial" w:eastAsia="Arial" w:hAnsi="Arial" w:cs="Arial"/>
              </w:rPr>
            </w:pPr>
            <w:r>
              <w:rPr>
                <w:rFonts w:ascii="Arial" w:eastAsia="Arial" w:hAnsi="Arial" w:cs="Arial"/>
              </w:rPr>
              <w:t>Función social y ecológica de la propiedad y procedencia de la expropiación por motivos de utilidad pública o interés social.</w:t>
            </w:r>
          </w:p>
        </w:tc>
        <w:tc>
          <w:tcPr>
            <w:tcW w:w="3346" w:type="dxa"/>
            <w:tcBorders>
              <w:bottom w:val="single" w:sz="8" w:space="0" w:color="000000"/>
              <w:right w:val="single" w:sz="8" w:space="0" w:color="000000"/>
            </w:tcBorders>
            <w:tcMar>
              <w:top w:w="0" w:type="dxa"/>
              <w:left w:w="100" w:type="dxa"/>
              <w:bottom w:w="0" w:type="dxa"/>
              <w:right w:w="100" w:type="dxa"/>
            </w:tcMar>
            <w:vAlign w:val="center"/>
          </w:tcPr>
          <w:p w14:paraId="7A2435EA" w14:textId="77777777" w:rsidR="008C03AC" w:rsidRDefault="000375DC">
            <w:pPr>
              <w:spacing w:after="0" w:line="276" w:lineRule="auto"/>
              <w:jc w:val="both"/>
              <w:rPr>
                <w:rFonts w:ascii="Arial" w:eastAsia="Arial" w:hAnsi="Arial" w:cs="Arial"/>
              </w:rPr>
            </w:pPr>
            <w:r>
              <w:rPr>
                <w:rFonts w:ascii="Arial" w:eastAsia="Arial" w:hAnsi="Arial" w:cs="Arial"/>
              </w:rPr>
              <w:t>Expropiación - utilidad pública</w:t>
            </w:r>
          </w:p>
        </w:tc>
      </w:tr>
      <w:tr w:rsidR="008C03AC" w14:paraId="3CE26219" w14:textId="77777777">
        <w:trPr>
          <w:trHeight w:val="843"/>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4974C0D0" w14:textId="77777777" w:rsidR="008C03AC" w:rsidRDefault="008C03AC">
            <w:pPr>
              <w:spacing w:after="0" w:line="276" w:lineRule="auto"/>
              <w:jc w:val="center"/>
              <w:rPr>
                <w:rFonts w:ascii="Arial" w:eastAsia="Arial" w:hAnsi="Arial" w:cs="Arial"/>
                <w:b/>
                <w:bCs/>
              </w:rPr>
            </w:pPr>
          </w:p>
          <w:p w14:paraId="1F15D284" w14:textId="77777777" w:rsidR="008C03AC" w:rsidRDefault="000375DC">
            <w:pPr>
              <w:spacing w:after="0" w:line="276" w:lineRule="auto"/>
              <w:jc w:val="center"/>
              <w:rPr>
                <w:rFonts w:ascii="Arial" w:eastAsia="Arial" w:hAnsi="Arial" w:cs="Arial"/>
                <w:b/>
                <w:bCs/>
              </w:rPr>
            </w:pPr>
            <w:r>
              <w:rPr>
                <w:rFonts w:ascii="Arial" w:eastAsia="Arial" w:hAnsi="Arial" w:cs="Arial"/>
                <w:b/>
                <w:bCs/>
              </w:rPr>
              <w:t>63</w:t>
            </w:r>
          </w:p>
        </w:tc>
        <w:tc>
          <w:tcPr>
            <w:tcW w:w="4439" w:type="dxa"/>
            <w:tcBorders>
              <w:bottom w:val="single" w:sz="8" w:space="0" w:color="000000"/>
              <w:right w:val="single" w:sz="8" w:space="0" w:color="000000"/>
            </w:tcBorders>
            <w:tcMar>
              <w:top w:w="0" w:type="dxa"/>
              <w:left w:w="100" w:type="dxa"/>
              <w:bottom w:w="0" w:type="dxa"/>
              <w:right w:w="100" w:type="dxa"/>
            </w:tcMar>
            <w:vAlign w:val="center"/>
          </w:tcPr>
          <w:p w14:paraId="2339DB76" w14:textId="77777777" w:rsidR="008C03AC" w:rsidRDefault="000375DC">
            <w:pPr>
              <w:spacing w:after="0" w:line="276" w:lineRule="auto"/>
              <w:jc w:val="both"/>
              <w:rPr>
                <w:rFonts w:ascii="Arial" w:eastAsia="Arial" w:hAnsi="Arial" w:cs="Arial"/>
              </w:rPr>
            </w:pPr>
            <w:r>
              <w:rPr>
                <w:rFonts w:ascii="Arial" w:eastAsia="Arial" w:hAnsi="Arial" w:cs="Arial"/>
              </w:rPr>
              <w:t>Naturaleza jurídica de los bienes de uso público como inalienables, imprescriptibles e inembargables.</w:t>
            </w:r>
          </w:p>
        </w:tc>
        <w:tc>
          <w:tcPr>
            <w:tcW w:w="3346" w:type="dxa"/>
            <w:tcBorders>
              <w:bottom w:val="single" w:sz="8" w:space="0" w:color="000000"/>
              <w:right w:val="single" w:sz="8" w:space="0" w:color="000000"/>
            </w:tcBorders>
            <w:tcMar>
              <w:top w:w="0" w:type="dxa"/>
              <w:left w:w="100" w:type="dxa"/>
              <w:bottom w:w="0" w:type="dxa"/>
              <w:right w:w="100" w:type="dxa"/>
            </w:tcMar>
            <w:vAlign w:val="center"/>
          </w:tcPr>
          <w:p w14:paraId="7DA4F89C" w14:textId="77777777" w:rsidR="008C03AC" w:rsidRDefault="000375DC">
            <w:pPr>
              <w:spacing w:after="0" w:line="276" w:lineRule="auto"/>
              <w:jc w:val="both"/>
              <w:rPr>
                <w:rFonts w:ascii="Arial" w:eastAsia="Arial" w:hAnsi="Arial" w:cs="Arial"/>
              </w:rPr>
            </w:pPr>
            <w:r>
              <w:rPr>
                <w:rFonts w:ascii="Arial" w:eastAsia="Arial" w:hAnsi="Arial" w:cs="Arial"/>
              </w:rPr>
              <w:t>Características bienes de uso público</w:t>
            </w:r>
          </w:p>
        </w:tc>
      </w:tr>
      <w:tr w:rsidR="008C03AC" w14:paraId="213EA010" w14:textId="77777777">
        <w:trPr>
          <w:trHeight w:val="748"/>
          <w:jc w:val="center"/>
        </w:trPr>
        <w:tc>
          <w:tcPr>
            <w:tcW w:w="1080"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53DA2270" w14:textId="77777777" w:rsidR="008C03AC" w:rsidRDefault="008C03AC">
            <w:pPr>
              <w:spacing w:after="0" w:line="276" w:lineRule="auto"/>
              <w:jc w:val="both"/>
              <w:rPr>
                <w:rFonts w:ascii="Arial" w:eastAsia="Arial" w:hAnsi="Arial" w:cs="Arial"/>
                <w:b/>
                <w:bCs/>
              </w:rPr>
            </w:pPr>
          </w:p>
          <w:p w14:paraId="7267F5DB" w14:textId="77777777" w:rsidR="008C03AC" w:rsidRDefault="000375DC">
            <w:pPr>
              <w:spacing w:after="0" w:line="276" w:lineRule="auto"/>
              <w:jc w:val="center"/>
              <w:rPr>
                <w:rFonts w:ascii="Arial" w:eastAsia="Arial" w:hAnsi="Arial" w:cs="Arial"/>
                <w:b/>
                <w:bCs/>
              </w:rPr>
            </w:pPr>
            <w:r>
              <w:rPr>
                <w:rFonts w:ascii="Arial" w:eastAsia="Arial" w:hAnsi="Arial" w:cs="Arial"/>
                <w:b/>
                <w:bCs/>
              </w:rPr>
              <w:t>82</w:t>
            </w:r>
          </w:p>
        </w:tc>
        <w:tc>
          <w:tcPr>
            <w:tcW w:w="4439" w:type="dxa"/>
            <w:tcBorders>
              <w:bottom w:val="single" w:sz="8" w:space="0" w:color="000000"/>
              <w:right w:val="single" w:sz="8" w:space="0" w:color="000000"/>
            </w:tcBorders>
            <w:tcMar>
              <w:top w:w="0" w:type="dxa"/>
              <w:left w:w="100" w:type="dxa"/>
              <w:bottom w:w="0" w:type="dxa"/>
              <w:right w:w="100" w:type="dxa"/>
            </w:tcMar>
            <w:vAlign w:val="center"/>
          </w:tcPr>
          <w:p w14:paraId="194FC43A" w14:textId="77777777" w:rsidR="008C03AC" w:rsidRDefault="000375DC">
            <w:pPr>
              <w:spacing w:after="0" w:line="276" w:lineRule="auto"/>
              <w:jc w:val="both"/>
              <w:rPr>
                <w:rFonts w:ascii="Arial" w:eastAsia="Arial" w:hAnsi="Arial" w:cs="Arial"/>
              </w:rPr>
            </w:pPr>
            <w:r>
              <w:rPr>
                <w:rFonts w:ascii="Arial" w:eastAsia="Arial" w:hAnsi="Arial" w:cs="Arial"/>
              </w:rPr>
              <w:t>Deber del Estado de velar por la protección de la integridad del espacio público y su destinación al uso común.</w:t>
            </w:r>
          </w:p>
        </w:tc>
        <w:tc>
          <w:tcPr>
            <w:tcW w:w="3346" w:type="dxa"/>
            <w:tcBorders>
              <w:bottom w:val="single" w:sz="8" w:space="0" w:color="000000"/>
              <w:right w:val="single" w:sz="8" w:space="0" w:color="000000"/>
            </w:tcBorders>
            <w:tcMar>
              <w:top w:w="0" w:type="dxa"/>
              <w:left w:w="100" w:type="dxa"/>
              <w:bottom w:w="0" w:type="dxa"/>
              <w:right w:w="100" w:type="dxa"/>
            </w:tcMar>
            <w:vAlign w:val="center"/>
          </w:tcPr>
          <w:p w14:paraId="2427ADAE" w14:textId="77777777" w:rsidR="008C03AC" w:rsidRDefault="000375DC">
            <w:pPr>
              <w:spacing w:after="0" w:line="276" w:lineRule="auto"/>
              <w:jc w:val="both"/>
              <w:rPr>
                <w:rFonts w:ascii="Arial" w:eastAsia="Arial" w:hAnsi="Arial" w:cs="Arial"/>
              </w:rPr>
            </w:pPr>
            <w:r>
              <w:rPr>
                <w:rFonts w:ascii="Arial" w:eastAsia="Arial" w:hAnsi="Arial" w:cs="Arial"/>
              </w:rPr>
              <w:t>Espacio público y su protección</w:t>
            </w:r>
          </w:p>
        </w:tc>
      </w:tr>
    </w:tbl>
    <w:p w14:paraId="7A8F53F6" w14:textId="77777777" w:rsidR="008C03AC" w:rsidRDefault="008C03AC">
      <w:pPr>
        <w:widowControl w:val="0"/>
        <w:spacing w:after="0" w:line="276" w:lineRule="auto"/>
        <w:rPr>
          <w:rFonts w:ascii="Arial" w:eastAsia="Arial" w:hAnsi="Arial" w:cs="Arial"/>
        </w:rPr>
      </w:pPr>
    </w:p>
    <w:tbl>
      <w:tblPr>
        <w:tblStyle w:val="a9"/>
        <w:tblW w:w="888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124"/>
        <w:gridCol w:w="4321"/>
        <w:gridCol w:w="3435"/>
      </w:tblGrid>
      <w:tr w:rsidR="008C03AC" w14:paraId="57B56B33" w14:textId="77777777">
        <w:trPr>
          <w:trHeight w:val="503"/>
          <w:jc w:val="center"/>
        </w:trPr>
        <w:tc>
          <w:tcPr>
            <w:tcW w:w="8880"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vAlign w:val="center"/>
          </w:tcPr>
          <w:p w14:paraId="6794EF83" w14:textId="77777777" w:rsidR="008C03AC" w:rsidRDefault="000375DC">
            <w:pPr>
              <w:spacing w:after="0" w:line="276" w:lineRule="auto"/>
              <w:jc w:val="center"/>
              <w:rPr>
                <w:rFonts w:ascii="Arial" w:eastAsia="Arial" w:hAnsi="Arial" w:cs="Arial"/>
                <w:b/>
                <w:bCs/>
              </w:rPr>
            </w:pPr>
            <w:r>
              <w:rPr>
                <w:rFonts w:ascii="Arial" w:eastAsia="Arial" w:hAnsi="Arial" w:cs="Arial"/>
                <w:b/>
                <w:bCs/>
              </w:rPr>
              <w:t xml:space="preserve"> Código Civil</w:t>
            </w:r>
          </w:p>
        </w:tc>
      </w:tr>
      <w:tr w:rsidR="008C03AC" w14:paraId="73EAA632" w14:textId="77777777">
        <w:trPr>
          <w:trHeight w:val="345"/>
          <w:jc w:val="center"/>
        </w:trPr>
        <w:tc>
          <w:tcPr>
            <w:tcW w:w="1124"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65DE71F8" w14:textId="77777777" w:rsidR="008C03AC" w:rsidRDefault="000375DC">
            <w:pPr>
              <w:spacing w:after="0" w:line="276" w:lineRule="auto"/>
              <w:jc w:val="center"/>
              <w:rPr>
                <w:rFonts w:ascii="Arial" w:eastAsia="Arial" w:hAnsi="Arial" w:cs="Arial"/>
                <w:b/>
                <w:bCs/>
              </w:rPr>
            </w:pPr>
            <w:r>
              <w:rPr>
                <w:rFonts w:ascii="Arial" w:eastAsia="Arial" w:hAnsi="Arial" w:cs="Arial"/>
                <w:b/>
                <w:bCs/>
              </w:rPr>
              <w:t>Artículo</w:t>
            </w:r>
          </w:p>
        </w:tc>
        <w:tc>
          <w:tcPr>
            <w:tcW w:w="4321" w:type="dxa"/>
            <w:tcBorders>
              <w:bottom w:val="single" w:sz="8" w:space="0" w:color="000000"/>
              <w:right w:val="single" w:sz="8" w:space="0" w:color="000000"/>
            </w:tcBorders>
            <w:tcMar>
              <w:top w:w="0" w:type="dxa"/>
              <w:left w:w="100" w:type="dxa"/>
              <w:bottom w:w="0" w:type="dxa"/>
              <w:right w:w="100" w:type="dxa"/>
            </w:tcMar>
            <w:vAlign w:val="center"/>
          </w:tcPr>
          <w:p w14:paraId="21C72D42" w14:textId="77777777" w:rsidR="008C03AC" w:rsidRDefault="000375DC">
            <w:pPr>
              <w:spacing w:after="0" w:line="276" w:lineRule="auto"/>
              <w:jc w:val="center"/>
              <w:rPr>
                <w:rFonts w:ascii="Arial" w:eastAsia="Arial" w:hAnsi="Arial" w:cs="Arial"/>
                <w:b/>
                <w:bCs/>
              </w:rPr>
            </w:pPr>
            <w:r>
              <w:rPr>
                <w:rFonts w:ascii="Arial" w:eastAsia="Arial" w:hAnsi="Arial" w:cs="Arial"/>
                <w:b/>
                <w:bCs/>
              </w:rPr>
              <w:t>Contenido</w:t>
            </w:r>
          </w:p>
        </w:tc>
        <w:tc>
          <w:tcPr>
            <w:tcW w:w="3435" w:type="dxa"/>
            <w:tcBorders>
              <w:bottom w:val="single" w:sz="8" w:space="0" w:color="000000"/>
              <w:right w:val="single" w:sz="8" w:space="0" w:color="000000"/>
            </w:tcBorders>
            <w:tcMar>
              <w:top w:w="0" w:type="dxa"/>
              <w:left w:w="100" w:type="dxa"/>
              <w:bottom w:w="0" w:type="dxa"/>
              <w:right w:w="100" w:type="dxa"/>
            </w:tcMar>
            <w:vAlign w:val="center"/>
          </w:tcPr>
          <w:p w14:paraId="7120019C" w14:textId="77777777" w:rsidR="008C03AC" w:rsidRDefault="000375DC">
            <w:pPr>
              <w:spacing w:after="0" w:line="276" w:lineRule="auto"/>
              <w:jc w:val="center"/>
              <w:rPr>
                <w:rFonts w:ascii="Arial" w:eastAsia="Arial" w:hAnsi="Arial" w:cs="Arial"/>
                <w:b/>
                <w:bCs/>
              </w:rPr>
            </w:pPr>
            <w:r>
              <w:rPr>
                <w:rFonts w:ascii="Arial" w:eastAsia="Arial" w:hAnsi="Arial" w:cs="Arial"/>
                <w:b/>
                <w:bCs/>
              </w:rPr>
              <w:t>Enfoque Principal</w:t>
            </w:r>
          </w:p>
        </w:tc>
      </w:tr>
      <w:tr w:rsidR="008C03AC" w14:paraId="24675411" w14:textId="77777777">
        <w:trPr>
          <w:trHeight w:val="795"/>
          <w:jc w:val="center"/>
        </w:trPr>
        <w:tc>
          <w:tcPr>
            <w:tcW w:w="112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0BF6B4FE" w14:textId="77777777" w:rsidR="008C03AC" w:rsidRDefault="000375DC">
            <w:pPr>
              <w:spacing w:after="0" w:line="276" w:lineRule="auto"/>
              <w:jc w:val="both"/>
              <w:rPr>
                <w:rFonts w:ascii="Arial" w:eastAsia="Arial" w:hAnsi="Arial" w:cs="Arial"/>
                <w:b/>
                <w:bCs/>
              </w:rPr>
            </w:pPr>
            <w:r>
              <w:rPr>
                <w:rFonts w:ascii="Arial" w:eastAsia="Arial" w:hAnsi="Arial" w:cs="Arial"/>
                <w:b/>
                <w:bCs/>
              </w:rPr>
              <w:t>674</w:t>
            </w:r>
          </w:p>
        </w:tc>
        <w:tc>
          <w:tcPr>
            <w:tcW w:w="4321" w:type="dxa"/>
            <w:vMerge w:val="restart"/>
            <w:tcBorders>
              <w:bottom w:val="single" w:sz="8" w:space="0" w:color="000000"/>
              <w:right w:val="single" w:sz="8" w:space="0" w:color="000000"/>
            </w:tcBorders>
            <w:tcMar>
              <w:top w:w="0" w:type="dxa"/>
              <w:left w:w="100" w:type="dxa"/>
              <w:bottom w:w="0" w:type="dxa"/>
              <w:right w:w="100" w:type="dxa"/>
            </w:tcMar>
            <w:vAlign w:val="center"/>
          </w:tcPr>
          <w:p w14:paraId="128A2C3F" w14:textId="77777777" w:rsidR="008C03AC" w:rsidRDefault="000375DC">
            <w:pPr>
              <w:spacing w:after="0" w:line="276" w:lineRule="auto"/>
              <w:jc w:val="both"/>
              <w:rPr>
                <w:rFonts w:ascii="Arial" w:eastAsia="Arial" w:hAnsi="Arial" w:cs="Arial"/>
              </w:rPr>
            </w:pPr>
            <w:r>
              <w:rPr>
                <w:rFonts w:ascii="Arial" w:eastAsia="Arial" w:hAnsi="Arial" w:cs="Arial"/>
              </w:rPr>
              <w:t xml:space="preserve">Regula los </w:t>
            </w:r>
            <w:r>
              <w:rPr>
                <w:rFonts w:ascii="Arial" w:eastAsia="Arial" w:hAnsi="Arial" w:cs="Arial"/>
                <w:b/>
                <w:bCs/>
              </w:rPr>
              <w:t>bienes públicos y de uso público</w:t>
            </w:r>
            <w:r>
              <w:rPr>
                <w:rFonts w:ascii="Arial" w:eastAsia="Arial" w:hAnsi="Arial" w:cs="Arial"/>
              </w:rPr>
              <w:t>.</w:t>
            </w:r>
          </w:p>
        </w:tc>
        <w:tc>
          <w:tcPr>
            <w:tcW w:w="3435" w:type="dxa"/>
            <w:tcBorders>
              <w:bottom w:val="single" w:sz="8" w:space="0" w:color="000000"/>
              <w:right w:val="single" w:sz="8" w:space="0" w:color="000000"/>
            </w:tcBorders>
            <w:tcMar>
              <w:top w:w="0" w:type="dxa"/>
              <w:left w:w="100" w:type="dxa"/>
              <w:bottom w:w="0" w:type="dxa"/>
              <w:right w:w="100" w:type="dxa"/>
            </w:tcMar>
            <w:vAlign w:val="center"/>
          </w:tcPr>
          <w:p w14:paraId="59D03AA9" w14:textId="77777777" w:rsidR="008C03AC" w:rsidRDefault="000375DC">
            <w:pPr>
              <w:spacing w:after="0" w:line="276" w:lineRule="auto"/>
              <w:jc w:val="both"/>
              <w:rPr>
                <w:rFonts w:ascii="Arial" w:eastAsia="Arial" w:hAnsi="Arial" w:cs="Arial"/>
              </w:rPr>
            </w:pPr>
            <w:r>
              <w:rPr>
                <w:rFonts w:ascii="Arial" w:eastAsia="Arial" w:hAnsi="Arial" w:cs="Arial"/>
              </w:rPr>
              <w:t>- Define qué bienes son de uso público.</w:t>
            </w:r>
          </w:p>
        </w:tc>
      </w:tr>
      <w:tr w:rsidR="008C03AC" w14:paraId="3B39F343" w14:textId="77777777">
        <w:trPr>
          <w:trHeight w:val="797"/>
          <w:jc w:val="center"/>
        </w:trPr>
        <w:tc>
          <w:tcPr>
            <w:tcW w:w="1124" w:type="dxa"/>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2B10CE85" w14:textId="77777777" w:rsidR="008C03AC" w:rsidRDefault="008C03AC">
            <w:pPr>
              <w:widowControl w:val="0"/>
              <w:pBdr>
                <w:top w:val="nil"/>
                <w:left w:val="nil"/>
                <w:bottom w:val="nil"/>
                <w:right w:val="nil"/>
                <w:between w:val="nil"/>
              </w:pBdr>
              <w:spacing w:after="0" w:line="276" w:lineRule="auto"/>
              <w:rPr>
                <w:rFonts w:ascii="Arial" w:eastAsia="Arial" w:hAnsi="Arial" w:cs="Arial"/>
              </w:rPr>
            </w:pPr>
          </w:p>
        </w:tc>
        <w:tc>
          <w:tcPr>
            <w:tcW w:w="4321" w:type="dxa"/>
            <w:vMerge/>
            <w:tcBorders>
              <w:bottom w:val="single" w:sz="8" w:space="0" w:color="000000"/>
              <w:right w:val="single" w:sz="8" w:space="0" w:color="000000"/>
            </w:tcBorders>
            <w:tcMar>
              <w:top w:w="0" w:type="dxa"/>
              <w:left w:w="100" w:type="dxa"/>
              <w:bottom w:w="0" w:type="dxa"/>
              <w:right w:w="100" w:type="dxa"/>
            </w:tcMar>
            <w:vAlign w:val="center"/>
          </w:tcPr>
          <w:p w14:paraId="3ECF7C97" w14:textId="77777777" w:rsidR="008C03AC" w:rsidRDefault="008C03AC">
            <w:pPr>
              <w:widowControl w:val="0"/>
              <w:pBdr>
                <w:top w:val="nil"/>
                <w:left w:val="nil"/>
                <w:bottom w:val="nil"/>
                <w:right w:val="nil"/>
                <w:between w:val="nil"/>
              </w:pBdr>
              <w:spacing w:after="0" w:line="276" w:lineRule="auto"/>
              <w:rPr>
                <w:rFonts w:ascii="Arial" w:eastAsia="Arial" w:hAnsi="Arial" w:cs="Arial"/>
              </w:rPr>
            </w:pPr>
          </w:p>
        </w:tc>
        <w:tc>
          <w:tcPr>
            <w:tcW w:w="3435" w:type="dxa"/>
            <w:tcBorders>
              <w:bottom w:val="single" w:sz="8" w:space="0" w:color="000000"/>
              <w:right w:val="single" w:sz="8" w:space="0" w:color="000000"/>
            </w:tcBorders>
            <w:tcMar>
              <w:top w:w="0" w:type="dxa"/>
              <w:left w:w="100" w:type="dxa"/>
              <w:bottom w:w="0" w:type="dxa"/>
              <w:right w:w="100" w:type="dxa"/>
            </w:tcMar>
            <w:vAlign w:val="center"/>
          </w:tcPr>
          <w:p w14:paraId="38EB7024" w14:textId="77777777" w:rsidR="008C03AC" w:rsidRDefault="000375DC">
            <w:pPr>
              <w:spacing w:after="0" w:line="276" w:lineRule="auto"/>
              <w:jc w:val="both"/>
              <w:rPr>
                <w:rFonts w:ascii="Arial" w:eastAsia="Arial" w:hAnsi="Arial" w:cs="Arial"/>
              </w:rPr>
            </w:pPr>
            <w:r>
              <w:rPr>
                <w:rFonts w:ascii="Arial" w:eastAsia="Arial" w:hAnsi="Arial" w:cs="Arial"/>
              </w:rPr>
              <w:t xml:space="preserve">- Son </w:t>
            </w:r>
            <w:r>
              <w:rPr>
                <w:rFonts w:ascii="Arial" w:eastAsia="Arial" w:hAnsi="Arial" w:cs="Arial"/>
                <w:b/>
                <w:bCs/>
              </w:rPr>
              <w:t>inembargables e inalienables</w:t>
            </w:r>
            <w:r>
              <w:rPr>
                <w:rFonts w:ascii="Arial" w:eastAsia="Arial" w:hAnsi="Arial" w:cs="Arial"/>
              </w:rPr>
              <w:t xml:space="preserve"> mientras mantengan esa destinación.</w:t>
            </w:r>
          </w:p>
        </w:tc>
      </w:tr>
      <w:tr w:rsidR="008C03AC" w14:paraId="2511B51B" w14:textId="77777777">
        <w:trPr>
          <w:trHeight w:val="795"/>
          <w:jc w:val="center"/>
        </w:trPr>
        <w:tc>
          <w:tcPr>
            <w:tcW w:w="112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3936378B" w14:textId="77777777" w:rsidR="008C03AC" w:rsidRDefault="000375DC">
            <w:pPr>
              <w:spacing w:after="0" w:line="276" w:lineRule="auto"/>
              <w:jc w:val="both"/>
              <w:rPr>
                <w:rFonts w:ascii="Arial" w:eastAsia="Arial" w:hAnsi="Arial" w:cs="Arial"/>
                <w:b/>
                <w:bCs/>
              </w:rPr>
            </w:pPr>
            <w:r>
              <w:rPr>
                <w:rFonts w:ascii="Arial" w:eastAsia="Arial" w:hAnsi="Arial" w:cs="Arial"/>
                <w:b/>
                <w:bCs/>
              </w:rPr>
              <w:t>675</w:t>
            </w:r>
          </w:p>
        </w:tc>
        <w:tc>
          <w:tcPr>
            <w:tcW w:w="4321" w:type="dxa"/>
            <w:vMerge w:val="restart"/>
            <w:tcBorders>
              <w:bottom w:val="single" w:sz="8" w:space="0" w:color="000000"/>
              <w:right w:val="single" w:sz="8" w:space="0" w:color="000000"/>
            </w:tcBorders>
            <w:tcMar>
              <w:top w:w="0" w:type="dxa"/>
              <w:left w:w="100" w:type="dxa"/>
              <w:bottom w:w="0" w:type="dxa"/>
              <w:right w:w="100" w:type="dxa"/>
            </w:tcMar>
            <w:vAlign w:val="center"/>
          </w:tcPr>
          <w:p w14:paraId="6FFDA00B" w14:textId="77777777" w:rsidR="008C03AC" w:rsidRDefault="000375DC">
            <w:pPr>
              <w:spacing w:after="0" w:line="276" w:lineRule="auto"/>
              <w:jc w:val="both"/>
              <w:rPr>
                <w:rFonts w:ascii="Arial" w:eastAsia="Arial" w:hAnsi="Arial" w:cs="Arial"/>
              </w:rPr>
            </w:pPr>
            <w:r>
              <w:rPr>
                <w:rFonts w:ascii="Arial" w:eastAsia="Arial" w:hAnsi="Arial" w:cs="Arial"/>
              </w:rPr>
              <w:t xml:space="preserve">Establece la </w:t>
            </w:r>
            <w:r>
              <w:rPr>
                <w:rFonts w:ascii="Arial" w:eastAsia="Arial" w:hAnsi="Arial" w:cs="Arial"/>
                <w:b/>
                <w:bCs/>
              </w:rPr>
              <w:t>diferencia</w:t>
            </w:r>
            <w:r>
              <w:rPr>
                <w:rFonts w:ascii="Arial" w:eastAsia="Arial" w:hAnsi="Arial" w:cs="Arial"/>
              </w:rPr>
              <w:t xml:space="preserve"> entre bienes de uso público y </w:t>
            </w:r>
            <w:r>
              <w:rPr>
                <w:rFonts w:ascii="Arial" w:eastAsia="Arial" w:hAnsi="Arial" w:cs="Arial"/>
                <w:b/>
                <w:bCs/>
              </w:rPr>
              <w:t>bienes fiscales</w:t>
            </w:r>
            <w:r>
              <w:rPr>
                <w:rFonts w:ascii="Arial" w:eastAsia="Arial" w:hAnsi="Arial" w:cs="Arial"/>
              </w:rPr>
              <w:t>.</w:t>
            </w:r>
          </w:p>
        </w:tc>
        <w:tc>
          <w:tcPr>
            <w:tcW w:w="3435" w:type="dxa"/>
            <w:tcBorders>
              <w:bottom w:val="single" w:sz="8" w:space="0" w:color="000000"/>
              <w:right w:val="single" w:sz="8" w:space="0" w:color="000000"/>
            </w:tcBorders>
            <w:tcMar>
              <w:top w:w="0" w:type="dxa"/>
              <w:left w:w="100" w:type="dxa"/>
              <w:bottom w:w="0" w:type="dxa"/>
              <w:right w:w="100" w:type="dxa"/>
            </w:tcMar>
            <w:vAlign w:val="center"/>
          </w:tcPr>
          <w:p w14:paraId="6FF1A9F3" w14:textId="77777777" w:rsidR="008C03AC" w:rsidRDefault="000375DC">
            <w:pPr>
              <w:spacing w:after="0" w:line="276" w:lineRule="auto"/>
              <w:jc w:val="both"/>
              <w:rPr>
                <w:rFonts w:ascii="Arial" w:eastAsia="Arial" w:hAnsi="Arial" w:cs="Arial"/>
              </w:rPr>
            </w:pPr>
            <w:r>
              <w:rPr>
                <w:rFonts w:ascii="Arial" w:eastAsia="Arial" w:hAnsi="Arial" w:cs="Arial"/>
              </w:rPr>
              <w:t xml:space="preserve">- Bienes fiscales </w:t>
            </w:r>
            <w:r>
              <w:rPr>
                <w:rFonts w:ascii="Arial" w:eastAsia="Arial" w:hAnsi="Arial" w:cs="Arial"/>
                <w:b/>
                <w:bCs/>
              </w:rPr>
              <w:t>sí pueden ser enajenados</w:t>
            </w:r>
            <w:r>
              <w:rPr>
                <w:rFonts w:ascii="Arial" w:eastAsia="Arial" w:hAnsi="Arial" w:cs="Arial"/>
              </w:rPr>
              <w:t>.</w:t>
            </w:r>
          </w:p>
        </w:tc>
      </w:tr>
      <w:tr w:rsidR="008C03AC" w14:paraId="295D5D6F" w14:textId="77777777">
        <w:trPr>
          <w:trHeight w:val="540"/>
          <w:jc w:val="center"/>
        </w:trPr>
        <w:tc>
          <w:tcPr>
            <w:tcW w:w="1124" w:type="dxa"/>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335DA0F4" w14:textId="77777777" w:rsidR="008C03AC" w:rsidRDefault="008C03AC">
            <w:pPr>
              <w:widowControl w:val="0"/>
              <w:pBdr>
                <w:top w:val="nil"/>
                <w:left w:val="nil"/>
                <w:bottom w:val="nil"/>
                <w:right w:val="nil"/>
                <w:between w:val="nil"/>
              </w:pBdr>
              <w:spacing w:after="0" w:line="276" w:lineRule="auto"/>
              <w:rPr>
                <w:rFonts w:ascii="Arial" w:eastAsia="Arial" w:hAnsi="Arial" w:cs="Arial"/>
              </w:rPr>
            </w:pPr>
          </w:p>
        </w:tc>
        <w:tc>
          <w:tcPr>
            <w:tcW w:w="4321" w:type="dxa"/>
            <w:vMerge/>
            <w:tcBorders>
              <w:bottom w:val="single" w:sz="8" w:space="0" w:color="000000"/>
              <w:right w:val="single" w:sz="8" w:space="0" w:color="000000"/>
            </w:tcBorders>
            <w:tcMar>
              <w:top w:w="0" w:type="dxa"/>
              <w:left w:w="100" w:type="dxa"/>
              <w:bottom w:w="0" w:type="dxa"/>
              <w:right w:w="100" w:type="dxa"/>
            </w:tcMar>
            <w:vAlign w:val="center"/>
          </w:tcPr>
          <w:p w14:paraId="29F489CF" w14:textId="77777777" w:rsidR="008C03AC" w:rsidRDefault="008C03AC">
            <w:pPr>
              <w:widowControl w:val="0"/>
              <w:pBdr>
                <w:top w:val="nil"/>
                <w:left w:val="nil"/>
                <w:bottom w:val="nil"/>
                <w:right w:val="nil"/>
                <w:between w:val="nil"/>
              </w:pBdr>
              <w:spacing w:after="0" w:line="276" w:lineRule="auto"/>
              <w:rPr>
                <w:rFonts w:ascii="Arial" w:eastAsia="Arial" w:hAnsi="Arial" w:cs="Arial"/>
              </w:rPr>
            </w:pPr>
          </w:p>
        </w:tc>
        <w:tc>
          <w:tcPr>
            <w:tcW w:w="3435" w:type="dxa"/>
            <w:tcBorders>
              <w:bottom w:val="single" w:sz="8" w:space="0" w:color="000000"/>
              <w:right w:val="single" w:sz="8" w:space="0" w:color="000000"/>
            </w:tcBorders>
            <w:tcMar>
              <w:top w:w="0" w:type="dxa"/>
              <w:left w:w="100" w:type="dxa"/>
              <w:bottom w:w="0" w:type="dxa"/>
              <w:right w:w="100" w:type="dxa"/>
            </w:tcMar>
            <w:vAlign w:val="center"/>
          </w:tcPr>
          <w:p w14:paraId="25578385" w14:textId="77777777" w:rsidR="008C03AC" w:rsidRDefault="000375DC">
            <w:pPr>
              <w:spacing w:after="0" w:line="276" w:lineRule="auto"/>
              <w:jc w:val="both"/>
              <w:rPr>
                <w:rFonts w:ascii="Arial" w:eastAsia="Arial" w:hAnsi="Arial" w:cs="Arial"/>
              </w:rPr>
            </w:pPr>
            <w:r>
              <w:rPr>
                <w:rFonts w:ascii="Arial" w:eastAsia="Arial" w:hAnsi="Arial" w:cs="Arial"/>
              </w:rPr>
              <w:t>- Bienes de uso público no.</w:t>
            </w:r>
          </w:p>
        </w:tc>
      </w:tr>
      <w:tr w:rsidR="008C03AC" w14:paraId="176A7C9C" w14:textId="77777777">
        <w:trPr>
          <w:trHeight w:val="1154"/>
          <w:jc w:val="center"/>
        </w:trPr>
        <w:tc>
          <w:tcPr>
            <w:tcW w:w="1124"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DD6362D" w14:textId="77777777" w:rsidR="008C03AC" w:rsidRDefault="000375DC">
            <w:pPr>
              <w:spacing w:after="0" w:line="276" w:lineRule="auto"/>
              <w:jc w:val="both"/>
              <w:rPr>
                <w:rFonts w:ascii="Arial" w:eastAsia="Arial" w:hAnsi="Arial" w:cs="Arial"/>
                <w:b/>
                <w:bCs/>
              </w:rPr>
            </w:pPr>
            <w:r>
              <w:rPr>
                <w:rFonts w:ascii="Arial" w:eastAsia="Arial" w:hAnsi="Arial" w:cs="Arial"/>
                <w:b/>
                <w:bCs/>
              </w:rPr>
              <w:lastRenderedPageBreak/>
              <w:t>676</w:t>
            </w:r>
          </w:p>
        </w:tc>
        <w:tc>
          <w:tcPr>
            <w:tcW w:w="4321" w:type="dxa"/>
            <w:tcBorders>
              <w:bottom w:val="single" w:sz="8" w:space="0" w:color="000000"/>
              <w:right w:val="single" w:sz="8" w:space="0" w:color="000000"/>
            </w:tcBorders>
            <w:tcMar>
              <w:top w:w="0" w:type="dxa"/>
              <w:left w:w="100" w:type="dxa"/>
              <w:bottom w:w="0" w:type="dxa"/>
              <w:right w:w="100" w:type="dxa"/>
            </w:tcMar>
            <w:vAlign w:val="center"/>
          </w:tcPr>
          <w:p w14:paraId="1DE947CC" w14:textId="77777777" w:rsidR="008C03AC" w:rsidRDefault="000375DC">
            <w:pPr>
              <w:spacing w:after="0" w:line="276" w:lineRule="auto"/>
              <w:jc w:val="both"/>
              <w:rPr>
                <w:rFonts w:ascii="Arial" w:eastAsia="Arial" w:hAnsi="Arial" w:cs="Arial"/>
              </w:rPr>
            </w:pPr>
            <w:r>
              <w:rPr>
                <w:rFonts w:ascii="Arial" w:eastAsia="Arial" w:hAnsi="Arial" w:cs="Arial"/>
              </w:rPr>
              <w:t xml:space="preserve">Indica que el </w:t>
            </w:r>
            <w:r>
              <w:rPr>
                <w:rFonts w:ascii="Arial" w:eastAsia="Arial" w:hAnsi="Arial" w:cs="Arial"/>
                <w:b/>
                <w:bCs/>
              </w:rPr>
              <w:t>dominio</w:t>
            </w:r>
            <w:r>
              <w:rPr>
                <w:rFonts w:ascii="Arial" w:eastAsia="Arial" w:hAnsi="Arial" w:cs="Arial"/>
              </w:rPr>
              <w:t xml:space="preserve"> de estos bienes pertenece a la </w:t>
            </w:r>
            <w:r>
              <w:rPr>
                <w:rFonts w:ascii="Arial" w:eastAsia="Arial" w:hAnsi="Arial" w:cs="Arial"/>
                <w:b/>
                <w:bCs/>
              </w:rPr>
              <w:t>Nación o entidades territoriales</w:t>
            </w:r>
            <w:r>
              <w:rPr>
                <w:rFonts w:ascii="Arial" w:eastAsia="Arial" w:hAnsi="Arial" w:cs="Arial"/>
              </w:rPr>
              <w:t>.</w:t>
            </w:r>
          </w:p>
        </w:tc>
        <w:tc>
          <w:tcPr>
            <w:tcW w:w="3435" w:type="dxa"/>
            <w:tcBorders>
              <w:bottom w:val="single" w:sz="8" w:space="0" w:color="000000"/>
              <w:right w:val="single" w:sz="8" w:space="0" w:color="000000"/>
            </w:tcBorders>
            <w:tcMar>
              <w:top w:w="0" w:type="dxa"/>
              <w:left w:w="100" w:type="dxa"/>
              <w:bottom w:w="0" w:type="dxa"/>
              <w:right w:w="100" w:type="dxa"/>
            </w:tcMar>
            <w:vAlign w:val="center"/>
          </w:tcPr>
          <w:p w14:paraId="197422DF" w14:textId="77777777" w:rsidR="008C03AC" w:rsidRDefault="000375DC">
            <w:pPr>
              <w:spacing w:after="0" w:line="276" w:lineRule="auto"/>
              <w:jc w:val="both"/>
              <w:rPr>
                <w:rFonts w:ascii="Arial" w:eastAsia="Arial" w:hAnsi="Arial" w:cs="Arial"/>
              </w:rPr>
            </w:pPr>
            <w:r>
              <w:rPr>
                <w:rFonts w:ascii="Arial" w:eastAsia="Arial" w:hAnsi="Arial" w:cs="Arial"/>
              </w:rPr>
              <w:t xml:space="preserve">- Su administración se rige por </w:t>
            </w:r>
            <w:r>
              <w:rPr>
                <w:rFonts w:ascii="Arial" w:eastAsia="Arial" w:hAnsi="Arial" w:cs="Arial"/>
                <w:b/>
                <w:bCs/>
              </w:rPr>
              <w:t>normas especiales</w:t>
            </w:r>
            <w:r>
              <w:rPr>
                <w:rFonts w:ascii="Arial" w:eastAsia="Arial" w:hAnsi="Arial" w:cs="Arial"/>
              </w:rPr>
              <w:t>.</w:t>
            </w:r>
          </w:p>
        </w:tc>
      </w:tr>
    </w:tbl>
    <w:p w14:paraId="6B3B3DF7" w14:textId="77777777" w:rsidR="008C03AC" w:rsidRDefault="008C03AC">
      <w:pPr>
        <w:widowControl w:val="0"/>
        <w:spacing w:after="0" w:line="276" w:lineRule="auto"/>
        <w:rPr>
          <w:rFonts w:ascii="Arial" w:eastAsia="Arial" w:hAnsi="Arial" w:cs="Arial"/>
        </w:rPr>
      </w:pPr>
    </w:p>
    <w:tbl>
      <w:tblPr>
        <w:tblStyle w:val="aa"/>
        <w:tblW w:w="8898"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38"/>
        <w:gridCol w:w="1665"/>
        <w:gridCol w:w="5895"/>
      </w:tblGrid>
      <w:tr w:rsidR="008C03AC" w14:paraId="59CF7931" w14:textId="77777777">
        <w:trPr>
          <w:trHeight w:val="496"/>
          <w:jc w:val="center"/>
        </w:trPr>
        <w:tc>
          <w:tcPr>
            <w:tcW w:w="8898"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vAlign w:val="center"/>
          </w:tcPr>
          <w:p w14:paraId="5AC53001" w14:textId="77777777" w:rsidR="008C03AC" w:rsidRDefault="000375DC">
            <w:pPr>
              <w:spacing w:after="0" w:line="276" w:lineRule="auto"/>
              <w:jc w:val="center"/>
              <w:rPr>
                <w:rFonts w:ascii="Arial" w:eastAsia="Arial" w:hAnsi="Arial" w:cs="Arial"/>
                <w:b/>
                <w:bCs/>
              </w:rPr>
            </w:pPr>
            <w:r>
              <w:rPr>
                <w:rFonts w:ascii="Arial" w:eastAsia="Arial" w:hAnsi="Arial" w:cs="Arial"/>
                <w:b/>
                <w:bCs/>
              </w:rPr>
              <w:t xml:space="preserve">Leyes  </w:t>
            </w:r>
          </w:p>
        </w:tc>
      </w:tr>
      <w:tr w:rsidR="008C03AC" w14:paraId="04B8C96F" w14:textId="77777777">
        <w:trPr>
          <w:trHeight w:val="285"/>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693D0C" w14:textId="77777777" w:rsidR="008C03AC" w:rsidRDefault="000375DC">
            <w:pPr>
              <w:spacing w:after="0" w:line="276" w:lineRule="auto"/>
              <w:jc w:val="center"/>
              <w:rPr>
                <w:rFonts w:ascii="Arial" w:eastAsia="Arial" w:hAnsi="Arial" w:cs="Arial"/>
                <w:b/>
                <w:bCs/>
              </w:rPr>
            </w:pPr>
            <w:r>
              <w:rPr>
                <w:rFonts w:ascii="Arial" w:eastAsia="Arial" w:hAnsi="Arial" w:cs="Arial"/>
                <w:b/>
                <w:bCs/>
              </w:rPr>
              <w:t>Norma</w:t>
            </w:r>
          </w:p>
        </w:tc>
        <w:tc>
          <w:tcPr>
            <w:tcW w:w="1665" w:type="dxa"/>
            <w:tcBorders>
              <w:bottom w:val="single" w:sz="8" w:space="0" w:color="000000"/>
              <w:right w:val="single" w:sz="8" w:space="0" w:color="000000"/>
            </w:tcBorders>
            <w:tcMar>
              <w:top w:w="0" w:type="dxa"/>
              <w:left w:w="100" w:type="dxa"/>
              <w:bottom w:w="0" w:type="dxa"/>
              <w:right w:w="100" w:type="dxa"/>
            </w:tcMar>
          </w:tcPr>
          <w:p w14:paraId="6B57AC94" w14:textId="77777777" w:rsidR="008C03AC" w:rsidRDefault="000375DC">
            <w:pPr>
              <w:spacing w:after="0" w:line="276" w:lineRule="auto"/>
              <w:jc w:val="center"/>
              <w:rPr>
                <w:rFonts w:ascii="Arial" w:eastAsia="Arial" w:hAnsi="Arial" w:cs="Arial"/>
                <w:b/>
                <w:bCs/>
              </w:rPr>
            </w:pPr>
            <w:r>
              <w:rPr>
                <w:rFonts w:ascii="Arial" w:eastAsia="Arial" w:hAnsi="Arial" w:cs="Arial"/>
                <w:b/>
                <w:bCs/>
              </w:rPr>
              <w:t>Artículo</w:t>
            </w:r>
          </w:p>
        </w:tc>
        <w:tc>
          <w:tcPr>
            <w:tcW w:w="5895" w:type="dxa"/>
            <w:tcBorders>
              <w:bottom w:val="single" w:sz="8" w:space="0" w:color="000000"/>
              <w:right w:val="single" w:sz="8" w:space="0" w:color="000000"/>
            </w:tcBorders>
            <w:tcMar>
              <w:top w:w="0" w:type="dxa"/>
              <w:left w:w="100" w:type="dxa"/>
              <w:bottom w:w="0" w:type="dxa"/>
              <w:right w:w="100" w:type="dxa"/>
            </w:tcMar>
          </w:tcPr>
          <w:p w14:paraId="1D84A4F3" w14:textId="77777777" w:rsidR="008C03AC" w:rsidRDefault="000375DC">
            <w:pPr>
              <w:spacing w:after="0" w:line="276" w:lineRule="auto"/>
              <w:jc w:val="center"/>
              <w:rPr>
                <w:rFonts w:ascii="Arial" w:eastAsia="Arial" w:hAnsi="Arial" w:cs="Arial"/>
                <w:b/>
                <w:bCs/>
              </w:rPr>
            </w:pPr>
            <w:r>
              <w:rPr>
                <w:rFonts w:ascii="Arial" w:eastAsia="Arial" w:hAnsi="Arial" w:cs="Arial"/>
                <w:b/>
                <w:bCs/>
              </w:rPr>
              <w:t>Contenido Relevante</w:t>
            </w:r>
          </w:p>
        </w:tc>
      </w:tr>
      <w:tr w:rsidR="008C03AC" w14:paraId="29CBECDE"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401461EB" w14:textId="77777777" w:rsidR="008C03AC" w:rsidRDefault="000375DC">
            <w:pPr>
              <w:spacing w:after="0" w:line="276" w:lineRule="auto"/>
              <w:jc w:val="both"/>
              <w:rPr>
                <w:rFonts w:ascii="Arial" w:eastAsia="Arial" w:hAnsi="Arial" w:cs="Arial"/>
                <w:b/>
                <w:bCs/>
              </w:rPr>
            </w:pPr>
            <w:r>
              <w:rPr>
                <w:rFonts w:ascii="Arial" w:eastAsia="Arial" w:hAnsi="Arial" w:cs="Arial"/>
                <w:b/>
                <w:bCs/>
              </w:rPr>
              <w:t>Ley 388 de 1997</w:t>
            </w: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68FD4FDB" w14:textId="77777777" w:rsidR="008C03AC" w:rsidRDefault="000375DC">
            <w:pPr>
              <w:spacing w:after="0" w:line="276" w:lineRule="auto"/>
              <w:jc w:val="both"/>
              <w:rPr>
                <w:rFonts w:ascii="Arial" w:eastAsia="Arial" w:hAnsi="Arial" w:cs="Arial"/>
              </w:rPr>
            </w:pPr>
            <w:r>
              <w:rPr>
                <w:rFonts w:ascii="Arial" w:eastAsia="Arial" w:hAnsi="Arial" w:cs="Arial"/>
              </w:rPr>
              <w:t>Art. 58</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58ED7C71" w14:textId="77777777" w:rsidR="008C03AC" w:rsidRDefault="000375DC">
            <w:pPr>
              <w:spacing w:after="0" w:line="276" w:lineRule="auto"/>
              <w:jc w:val="both"/>
              <w:rPr>
                <w:rFonts w:ascii="Arial" w:eastAsia="Arial" w:hAnsi="Arial" w:cs="Arial"/>
              </w:rPr>
            </w:pPr>
            <w:r>
              <w:rPr>
                <w:rFonts w:ascii="Arial" w:eastAsia="Arial" w:hAnsi="Arial" w:cs="Arial"/>
              </w:rPr>
              <w:t>Declaratoria de utilidad pública e interés social.</w:t>
            </w:r>
          </w:p>
        </w:tc>
      </w:tr>
      <w:tr w:rsidR="008C03AC" w14:paraId="79F20EEA" w14:textId="77777777">
        <w:trPr>
          <w:trHeight w:val="855"/>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0F4AD71E" w14:textId="77777777" w:rsidR="008C03AC" w:rsidRDefault="008C03AC">
            <w:pPr>
              <w:spacing w:after="0" w:line="276" w:lineRule="auto"/>
              <w:jc w:val="both"/>
              <w:rPr>
                <w:rFonts w:ascii="Arial" w:eastAsia="Arial" w:hAnsi="Arial" w:cs="Arial"/>
                <w:b/>
                <w:bCs/>
              </w:rPr>
            </w:pP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452B64E7" w14:textId="77777777" w:rsidR="008C03AC" w:rsidRDefault="000375DC">
            <w:pPr>
              <w:spacing w:after="0" w:line="276" w:lineRule="auto"/>
              <w:jc w:val="both"/>
              <w:rPr>
                <w:rFonts w:ascii="Arial" w:eastAsia="Arial" w:hAnsi="Arial" w:cs="Arial"/>
              </w:rPr>
            </w:pPr>
            <w:r>
              <w:rPr>
                <w:rFonts w:ascii="Arial" w:eastAsia="Arial" w:hAnsi="Arial" w:cs="Arial"/>
              </w:rPr>
              <w:t>Art. 37</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2CCAC4F1" w14:textId="77777777" w:rsidR="008C03AC" w:rsidRDefault="000375DC">
            <w:pPr>
              <w:spacing w:after="0" w:line="276" w:lineRule="auto"/>
              <w:jc w:val="both"/>
              <w:rPr>
                <w:rFonts w:ascii="Arial" w:eastAsia="Arial" w:hAnsi="Arial" w:cs="Arial"/>
              </w:rPr>
            </w:pPr>
            <w:r>
              <w:rPr>
                <w:rFonts w:ascii="Arial" w:eastAsia="Arial" w:hAnsi="Arial" w:cs="Arial"/>
              </w:rPr>
              <w:t>Espacio ´público en actuaciones urbanísticas</w:t>
            </w:r>
          </w:p>
        </w:tc>
      </w:tr>
      <w:tr w:rsidR="008C03AC" w14:paraId="22CC1AE8"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56331E25" w14:textId="77777777" w:rsidR="008C03AC" w:rsidRDefault="008C03AC">
            <w:pPr>
              <w:spacing w:after="0" w:line="276" w:lineRule="auto"/>
              <w:ind w:left="720"/>
              <w:jc w:val="both"/>
              <w:rPr>
                <w:rFonts w:ascii="Arial" w:eastAsia="Arial" w:hAnsi="Arial" w:cs="Arial"/>
              </w:rPr>
            </w:pP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02184417" w14:textId="77777777" w:rsidR="008C03AC" w:rsidRDefault="000375DC">
            <w:pPr>
              <w:spacing w:after="0" w:line="276" w:lineRule="auto"/>
              <w:jc w:val="both"/>
              <w:rPr>
                <w:rFonts w:ascii="Arial" w:eastAsia="Arial" w:hAnsi="Arial" w:cs="Arial"/>
              </w:rPr>
            </w:pPr>
            <w:r>
              <w:rPr>
                <w:rFonts w:ascii="Arial" w:eastAsia="Arial" w:hAnsi="Arial" w:cs="Arial"/>
              </w:rPr>
              <w:t>Art. 38</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77F8E73E" w14:textId="77777777" w:rsidR="008C03AC" w:rsidRDefault="000375DC">
            <w:pPr>
              <w:spacing w:after="0" w:line="276" w:lineRule="auto"/>
              <w:jc w:val="both"/>
              <w:rPr>
                <w:rFonts w:ascii="Arial" w:eastAsia="Arial" w:hAnsi="Arial" w:cs="Arial"/>
              </w:rPr>
            </w:pPr>
            <w:r>
              <w:rPr>
                <w:rFonts w:ascii="Arial" w:eastAsia="Arial" w:hAnsi="Arial" w:cs="Arial"/>
              </w:rPr>
              <w:t>Reparto equitativo de cargas y beneficios</w:t>
            </w:r>
          </w:p>
        </w:tc>
      </w:tr>
      <w:tr w:rsidR="008C03AC" w14:paraId="668101C5" w14:textId="77777777">
        <w:trPr>
          <w:trHeight w:val="129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0B30F78C" w14:textId="77777777" w:rsidR="008C03AC" w:rsidRDefault="000375DC">
            <w:pPr>
              <w:spacing w:after="0" w:line="276" w:lineRule="auto"/>
              <w:jc w:val="both"/>
              <w:rPr>
                <w:rFonts w:ascii="Arial" w:eastAsia="Arial" w:hAnsi="Arial" w:cs="Arial"/>
                <w:b/>
                <w:bCs/>
              </w:rPr>
            </w:pPr>
            <w:r>
              <w:rPr>
                <w:rFonts w:ascii="Arial" w:eastAsia="Arial" w:hAnsi="Arial" w:cs="Arial"/>
                <w:b/>
                <w:bCs/>
              </w:rPr>
              <w:t>Ley 2044 de 2020</w:t>
            </w: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7095715A" w14:textId="77777777" w:rsidR="008C03AC" w:rsidRDefault="000375DC">
            <w:pPr>
              <w:spacing w:after="0" w:line="276" w:lineRule="auto"/>
              <w:jc w:val="both"/>
              <w:rPr>
                <w:rFonts w:ascii="Arial" w:eastAsia="Arial" w:hAnsi="Arial" w:cs="Arial"/>
              </w:rPr>
            </w:pPr>
            <w:r>
              <w:rPr>
                <w:rFonts w:ascii="Arial" w:eastAsia="Arial" w:hAnsi="Arial" w:cs="Arial"/>
              </w:rPr>
              <w:t>Art. 5</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302A6C14" w14:textId="77777777" w:rsidR="008C03AC" w:rsidRDefault="000375DC">
            <w:pPr>
              <w:spacing w:after="0" w:line="276" w:lineRule="auto"/>
              <w:jc w:val="both"/>
              <w:rPr>
                <w:rFonts w:ascii="Arial" w:eastAsia="Arial" w:hAnsi="Arial" w:cs="Arial"/>
              </w:rPr>
            </w:pPr>
            <w:r>
              <w:rPr>
                <w:rFonts w:ascii="Arial" w:eastAsia="Arial" w:hAnsi="Arial" w:cs="Arial"/>
              </w:rPr>
              <w:t>Obligación de los municipios de levantar y mantener actualizado el inventario de bienes de uso público y bienes afectos al uso público.</w:t>
            </w:r>
          </w:p>
        </w:tc>
      </w:tr>
      <w:tr w:rsidR="008C03AC" w14:paraId="49FE3969"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E2DDFD8" w14:textId="77777777" w:rsidR="008C03AC" w:rsidRDefault="008C03AC">
            <w:pPr>
              <w:spacing w:after="0" w:line="276" w:lineRule="auto"/>
              <w:ind w:left="720"/>
              <w:jc w:val="both"/>
              <w:rPr>
                <w:rFonts w:ascii="Arial" w:eastAsia="Arial" w:hAnsi="Arial" w:cs="Arial"/>
              </w:rPr>
            </w:pP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40F15648" w14:textId="77777777" w:rsidR="008C03AC" w:rsidRDefault="000375DC">
            <w:pPr>
              <w:spacing w:after="0" w:line="276" w:lineRule="auto"/>
              <w:jc w:val="both"/>
              <w:rPr>
                <w:rFonts w:ascii="Arial" w:eastAsia="Arial" w:hAnsi="Arial" w:cs="Arial"/>
              </w:rPr>
            </w:pPr>
            <w:r>
              <w:rPr>
                <w:rFonts w:ascii="Arial" w:eastAsia="Arial" w:hAnsi="Arial" w:cs="Arial"/>
              </w:rPr>
              <w:t>Art. 8</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0587E8E4" w14:textId="77777777" w:rsidR="008C03AC" w:rsidRDefault="000375DC">
            <w:pPr>
              <w:spacing w:after="0" w:line="276" w:lineRule="auto"/>
              <w:jc w:val="both"/>
              <w:rPr>
                <w:rFonts w:ascii="Arial" w:eastAsia="Arial" w:hAnsi="Arial" w:cs="Arial"/>
              </w:rPr>
            </w:pPr>
            <w:r>
              <w:rPr>
                <w:rFonts w:ascii="Arial" w:eastAsia="Arial" w:hAnsi="Arial" w:cs="Arial"/>
              </w:rPr>
              <w:t>Facultades para la adquisición y expropiación administrativa de predios destinados al uso público.</w:t>
            </w:r>
          </w:p>
        </w:tc>
      </w:tr>
      <w:tr w:rsidR="008C03AC" w14:paraId="25317D7A"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38ED4F08" w14:textId="77777777" w:rsidR="008C03AC" w:rsidRDefault="008C03AC">
            <w:pPr>
              <w:spacing w:after="0" w:line="276" w:lineRule="auto"/>
              <w:jc w:val="both"/>
              <w:rPr>
                <w:rFonts w:ascii="Arial" w:eastAsia="Arial" w:hAnsi="Arial" w:cs="Arial"/>
                <w:b/>
                <w:bCs/>
              </w:rPr>
            </w:pP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02FDB03D" w14:textId="77777777" w:rsidR="008C03AC" w:rsidRDefault="000375DC">
            <w:pPr>
              <w:spacing w:after="0" w:line="276" w:lineRule="auto"/>
              <w:jc w:val="both"/>
              <w:rPr>
                <w:rFonts w:ascii="Arial" w:eastAsia="Arial" w:hAnsi="Arial" w:cs="Arial"/>
              </w:rPr>
            </w:pPr>
            <w:r>
              <w:rPr>
                <w:rFonts w:ascii="Arial" w:eastAsia="Arial" w:hAnsi="Arial" w:cs="Arial"/>
              </w:rPr>
              <w:t>Art. 20</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595ECED4" w14:textId="77777777" w:rsidR="008C03AC" w:rsidRDefault="000375DC">
            <w:pPr>
              <w:spacing w:after="0" w:line="276" w:lineRule="auto"/>
              <w:jc w:val="both"/>
              <w:rPr>
                <w:rFonts w:ascii="Arial" w:eastAsia="Arial" w:hAnsi="Arial" w:cs="Arial"/>
              </w:rPr>
            </w:pPr>
            <w:r>
              <w:rPr>
                <w:rFonts w:ascii="Arial" w:eastAsia="Arial" w:hAnsi="Arial" w:cs="Arial"/>
              </w:rPr>
              <w:t>Titulación de bienes de uso público a favor de las entidades territoriales.</w:t>
            </w:r>
          </w:p>
        </w:tc>
      </w:tr>
      <w:tr w:rsidR="008C03AC" w14:paraId="6360A00B"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76A76F5C" w14:textId="77777777" w:rsidR="008C03AC" w:rsidRDefault="008C03AC">
            <w:pPr>
              <w:spacing w:after="0" w:line="276" w:lineRule="auto"/>
              <w:jc w:val="both"/>
              <w:rPr>
                <w:rFonts w:ascii="Arial" w:eastAsia="Arial" w:hAnsi="Arial" w:cs="Arial"/>
                <w:b/>
                <w:bCs/>
              </w:rPr>
            </w:pP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1068058D" w14:textId="77777777" w:rsidR="008C03AC" w:rsidRDefault="000375DC">
            <w:pPr>
              <w:spacing w:after="0" w:line="276" w:lineRule="auto"/>
              <w:jc w:val="both"/>
              <w:rPr>
                <w:rFonts w:ascii="Arial" w:eastAsia="Arial" w:hAnsi="Arial" w:cs="Arial"/>
              </w:rPr>
            </w:pPr>
            <w:r>
              <w:rPr>
                <w:rFonts w:ascii="Arial" w:eastAsia="Arial" w:hAnsi="Arial" w:cs="Arial"/>
              </w:rPr>
              <w:t>Art. 21</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01A99FB5" w14:textId="77777777" w:rsidR="008C03AC" w:rsidRDefault="000375DC">
            <w:pPr>
              <w:spacing w:after="0" w:line="276" w:lineRule="auto"/>
              <w:jc w:val="both"/>
              <w:rPr>
                <w:rFonts w:ascii="Arial" w:eastAsia="Arial" w:hAnsi="Arial" w:cs="Arial"/>
              </w:rPr>
            </w:pPr>
            <w:r>
              <w:rPr>
                <w:rFonts w:ascii="Arial" w:eastAsia="Arial" w:hAnsi="Arial" w:cs="Arial"/>
              </w:rPr>
              <w:t>Titulación de bienes de uso público a favor de las entidades territoriales.</w:t>
            </w:r>
          </w:p>
        </w:tc>
      </w:tr>
      <w:tr w:rsidR="008C03AC" w14:paraId="57E43079" w14:textId="77777777">
        <w:trPr>
          <w:trHeight w:val="570"/>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0CE8B62B" w14:textId="77777777" w:rsidR="008C03AC" w:rsidRDefault="000375DC">
            <w:pPr>
              <w:spacing w:after="0" w:line="276" w:lineRule="auto"/>
              <w:jc w:val="both"/>
              <w:rPr>
                <w:rFonts w:ascii="Arial" w:eastAsia="Arial" w:hAnsi="Arial" w:cs="Arial"/>
                <w:b/>
                <w:bCs/>
              </w:rPr>
            </w:pPr>
            <w:r>
              <w:rPr>
                <w:rFonts w:ascii="Arial" w:eastAsia="Arial" w:hAnsi="Arial" w:cs="Arial"/>
                <w:b/>
                <w:bCs/>
              </w:rPr>
              <w:t>Ley 2079 de 2021</w:t>
            </w: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56A14B56" w14:textId="77777777" w:rsidR="008C03AC" w:rsidRDefault="000375DC">
            <w:pPr>
              <w:spacing w:after="0" w:line="276" w:lineRule="auto"/>
              <w:jc w:val="both"/>
              <w:rPr>
                <w:rFonts w:ascii="Arial" w:eastAsia="Arial" w:hAnsi="Arial" w:cs="Arial"/>
              </w:rPr>
            </w:pPr>
            <w:r>
              <w:rPr>
                <w:rFonts w:ascii="Arial" w:eastAsia="Arial" w:hAnsi="Arial" w:cs="Arial"/>
              </w:rPr>
              <w:t>Art. 31</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04D41988" w14:textId="77777777" w:rsidR="008C03AC" w:rsidRDefault="000375DC">
            <w:pPr>
              <w:spacing w:after="0" w:line="276" w:lineRule="auto"/>
              <w:jc w:val="both"/>
              <w:rPr>
                <w:rFonts w:ascii="Arial" w:eastAsia="Arial" w:hAnsi="Arial" w:cs="Arial"/>
              </w:rPr>
            </w:pPr>
            <w:r>
              <w:rPr>
                <w:rFonts w:ascii="Arial" w:eastAsia="Arial" w:hAnsi="Arial" w:cs="Arial"/>
              </w:rPr>
              <w:t>Motivos de utilidad pública relacionados con vivienda de interés social, legalización de asentamientos y declaratoria de espacio público.</w:t>
            </w:r>
          </w:p>
        </w:tc>
      </w:tr>
      <w:tr w:rsidR="008C03AC" w14:paraId="52FE76AD" w14:textId="77777777">
        <w:trPr>
          <w:trHeight w:val="633"/>
          <w:jc w:val="center"/>
        </w:trPr>
        <w:tc>
          <w:tcPr>
            <w:tcW w:w="1338" w:type="dxa"/>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68248964" w14:textId="77777777" w:rsidR="008C03AC" w:rsidRDefault="000375DC">
            <w:pPr>
              <w:spacing w:after="0" w:line="276" w:lineRule="auto"/>
              <w:jc w:val="both"/>
              <w:rPr>
                <w:rFonts w:ascii="Arial" w:eastAsia="Arial" w:hAnsi="Arial" w:cs="Arial"/>
                <w:b/>
                <w:bCs/>
              </w:rPr>
            </w:pPr>
            <w:r>
              <w:rPr>
                <w:rFonts w:ascii="Arial" w:eastAsia="Arial" w:hAnsi="Arial" w:cs="Arial"/>
                <w:b/>
                <w:bCs/>
              </w:rPr>
              <w:t>Ley 9 de 1989</w:t>
            </w:r>
          </w:p>
        </w:tc>
        <w:tc>
          <w:tcPr>
            <w:tcW w:w="1665" w:type="dxa"/>
            <w:tcBorders>
              <w:bottom w:val="single" w:sz="8" w:space="0" w:color="000000"/>
              <w:right w:val="single" w:sz="8" w:space="0" w:color="000000"/>
            </w:tcBorders>
            <w:tcMar>
              <w:top w:w="0" w:type="dxa"/>
              <w:left w:w="100" w:type="dxa"/>
              <w:bottom w:w="0" w:type="dxa"/>
              <w:right w:w="100" w:type="dxa"/>
            </w:tcMar>
            <w:vAlign w:val="center"/>
          </w:tcPr>
          <w:p w14:paraId="5CB7AFB2" w14:textId="77777777" w:rsidR="008C03AC" w:rsidRDefault="000375DC">
            <w:pPr>
              <w:spacing w:after="0" w:line="276" w:lineRule="auto"/>
              <w:jc w:val="both"/>
              <w:rPr>
                <w:rFonts w:ascii="Arial" w:eastAsia="Arial" w:hAnsi="Arial" w:cs="Arial"/>
              </w:rPr>
            </w:pPr>
            <w:r>
              <w:rPr>
                <w:rFonts w:ascii="Arial" w:eastAsia="Arial" w:hAnsi="Arial" w:cs="Arial"/>
              </w:rPr>
              <w:t>Art. 53</w:t>
            </w:r>
          </w:p>
        </w:tc>
        <w:tc>
          <w:tcPr>
            <w:tcW w:w="5895" w:type="dxa"/>
            <w:tcBorders>
              <w:bottom w:val="single" w:sz="8" w:space="0" w:color="000000"/>
              <w:right w:val="single" w:sz="8" w:space="0" w:color="000000"/>
            </w:tcBorders>
            <w:tcMar>
              <w:top w:w="0" w:type="dxa"/>
              <w:left w:w="100" w:type="dxa"/>
              <w:bottom w:w="0" w:type="dxa"/>
              <w:right w:w="100" w:type="dxa"/>
            </w:tcMar>
            <w:vAlign w:val="center"/>
          </w:tcPr>
          <w:p w14:paraId="0DDC2EDC" w14:textId="77777777" w:rsidR="008C03AC" w:rsidRDefault="000375DC">
            <w:pPr>
              <w:spacing w:after="0" w:line="276" w:lineRule="auto"/>
              <w:jc w:val="both"/>
              <w:rPr>
                <w:rFonts w:ascii="Arial" w:eastAsia="Arial" w:hAnsi="Arial" w:cs="Arial"/>
              </w:rPr>
            </w:pPr>
            <w:r>
              <w:rPr>
                <w:rFonts w:ascii="Arial" w:eastAsia="Arial" w:hAnsi="Arial" w:cs="Arial"/>
              </w:rPr>
              <w:t>Procedimiento para la adquisición de predios por utilidad pública.</w:t>
            </w:r>
          </w:p>
        </w:tc>
      </w:tr>
    </w:tbl>
    <w:p w14:paraId="071BB300" w14:textId="77777777" w:rsidR="008C03AC" w:rsidRDefault="008C03AC">
      <w:pPr>
        <w:widowControl w:val="0"/>
        <w:spacing w:after="0" w:line="276" w:lineRule="auto"/>
        <w:rPr>
          <w:rFonts w:ascii="Arial" w:eastAsia="Arial" w:hAnsi="Arial" w:cs="Arial"/>
        </w:rPr>
      </w:pPr>
    </w:p>
    <w:tbl>
      <w:tblPr>
        <w:tblStyle w:val="ab"/>
        <w:tblW w:w="9032"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691"/>
        <w:gridCol w:w="3606"/>
        <w:gridCol w:w="3735"/>
      </w:tblGrid>
      <w:tr w:rsidR="008C03AC" w14:paraId="68F7CC2D" w14:textId="77777777">
        <w:trPr>
          <w:trHeight w:val="520"/>
          <w:jc w:val="center"/>
        </w:trPr>
        <w:tc>
          <w:tcPr>
            <w:tcW w:w="9032" w:type="dxa"/>
            <w:gridSpan w:val="3"/>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vAlign w:val="center"/>
          </w:tcPr>
          <w:p w14:paraId="4CAECCE8" w14:textId="77777777" w:rsidR="008C03AC" w:rsidRDefault="000375DC">
            <w:pPr>
              <w:spacing w:after="0" w:line="276" w:lineRule="auto"/>
              <w:jc w:val="center"/>
              <w:rPr>
                <w:rFonts w:ascii="Arial" w:eastAsia="Arial" w:hAnsi="Arial" w:cs="Arial"/>
                <w:b/>
                <w:bCs/>
              </w:rPr>
            </w:pPr>
            <w:r>
              <w:rPr>
                <w:rFonts w:ascii="Arial" w:eastAsia="Arial" w:hAnsi="Arial" w:cs="Arial"/>
                <w:b/>
                <w:bCs/>
              </w:rPr>
              <w:t>Decretos y Resoluciones</w:t>
            </w:r>
          </w:p>
        </w:tc>
      </w:tr>
      <w:tr w:rsidR="008C03AC" w14:paraId="77407B02" w14:textId="77777777">
        <w:trPr>
          <w:trHeight w:val="136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60C9C5" w14:textId="77777777" w:rsidR="008C03AC" w:rsidRDefault="000375DC">
            <w:pPr>
              <w:spacing w:after="0" w:line="276" w:lineRule="auto"/>
              <w:jc w:val="both"/>
              <w:rPr>
                <w:rFonts w:ascii="Arial" w:eastAsia="Arial" w:hAnsi="Arial" w:cs="Arial"/>
                <w:b/>
                <w:bCs/>
              </w:rPr>
            </w:pPr>
            <w:r>
              <w:rPr>
                <w:rFonts w:ascii="Arial" w:eastAsia="Arial" w:hAnsi="Arial" w:cs="Arial"/>
                <w:b/>
                <w:bCs/>
              </w:rPr>
              <w:t>Decreto 1420 de 1998</w:t>
            </w:r>
          </w:p>
        </w:tc>
        <w:tc>
          <w:tcPr>
            <w:tcW w:w="3606" w:type="dxa"/>
            <w:tcBorders>
              <w:bottom w:val="single" w:sz="8" w:space="0" w:color="000000"/>
              <w:right w:val="single" w:sz="8" w:space="0" w:color="000000"/>
            </w:tcBorders>
            <w:tcMar>
              <w:top w:w="0" w:type="dxa"/>
              <w:left w:w="100" w:type="dxa"/>
              <w:bottom w:w="0" w:type="dxa"/>
              <w:right w:w="100" w:type="dxa"/>
            </w:tcMar>
          </w:tcPr>
          <w:p w14:paraId="6D2941DC" w14:textId="77777777" w:rsidR="008C03AC" w:rsidRDefault="000375DC">
            <w:pPr>
              <w:spacing w:after="0" w:line="276" w:lineRule="auto"/>
              <w:jc w:val="both"/>
              <w:rPr>
                <w:rFonts w:ascii="Arial" w:eastAsia="Arial" w:hAnsi="Arial" w:cs="Arial"/>
              </w:rPr>
            </w:pPr>
            <w:r>
              <w:rPr>
                <w:rFonts w:ascii="Arial" w:eastAsia="Arial" w:hAnsi="Arial" w:cs="Arial"/>
              </w:rPr>
              <w:t xml:space="preserve">Fija las normas, procedimientos, parámetros y criterios para la elaboración de los </w:t>
            </w:r>
            <w:r>
              <w:rPr>
                <w:rFonts w:ascii="Arial" w:eastAsia="Arial" w:hAnsi="Arial" w:cs="Arial"/>
                <w:b/>
                <w:bCs/>
              </w:rPr>
              <w:t xml:space="preserve">avalúos </w:t>
            </w:r>
            <w:r>
              <w:rPr>
                <w:rFonts w:ascii="Arial" w:eastAsia="Arial" w:hAnsi="Arial" w:cs="Arial"/>
              </w:rPr>
              <w:t xml:space="preserve">por los cuales se determinará el </w:t>
            </w:r>
            <w:r>
              <w:rPr>
                <w:rFonts w:ascii="Arial" w:eastAsia="Arial" w:hAnsi="Arial" w:cs="Arial"/>
              </w:rPr>
              <w:lastRenderedPageBreak/>
              <w:t xml:space="preserve">valor </w:t>
            </w:r>
            <w:r>
              <w:rPr>
                <w:rFonts w:ascii="Arial" w:eastAsia="Arial" w:hAnsi="Arial" w:cs="Arial"/>
                <w:b/>
                <w:bCs/>
              </w:rPr>
              <w:t xml:space="preserve">comercial </w:t>
            </w:r>
            <w:r>
              <w:rPr>
                <w:rFonts w:ascii="Arial" w:eastAsia="Arial" w:hAnsi="Arial" w:cs="Arial"/>
              </w:rPr>
              <w:t>de los bienes inmuebles</w:t>
            </w:r>
          </w:p>
        </w:tc>
        <w:tc>
          <w:tcPr>
            <w:tcW w:w="3735" w:type="dxa"/>
            <w:tcBorders>
              <w:bottom w:val="single" w:sz="8" w:space="0" w:color="000000"/>
              <w:right w:val="single" w:sz="8" w:space="0" w:color="000000"/>
            </w:tcBorders>
            <w:tcMar>
              <w:top w:w="0" w:type="dxa"/>
              <w:left w:w="100" w:type="dxa"/>
              <w:bottom w:w="0" w:type="dxa"/>
              <w:right w:w="100" w:type="dxa"/>
            </w:tcMar>
          </w:tcPr>
          <w:p w14:paraId="62D09712" w14:textId="77777777" w:rsidR="008C03AC" w:rsidRDefault="008C03AC">
            <w:pPr>
              <w:spacing w:after="0" w:line="276" w:lineRule="auto"/>
              <w:jc w:val="both"/>
              <w:rPr>
                <w:rFonts w:ascii="Arial" w:eastAsia="Arial" w:hAnsi="Arial" w:cs="Arial"/>
              </w:rPr>
            </w:pPr>
          </w:p>
        </w:tc>
      </w:tr>
      <w:tr w:rsidR="008C03AC" w14:paraId="62C0066F" w14:textId="77777777">
        <w:trPr>
          <w:trHeight w:val="95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7FBBE406" w14:textId="77777777" w:rsidR="008C03AC" w:rsidRDefault="000375DC">
            <w:pPr>
              <w:spacing w:after="0" w:line="276" w:lineRule="auto"/>
              <w:jc w:val="both"/>
              <w:rPr>
                <w:rFonts w:ascii="Arial" w:eastAsia="Arial" w:hAnsi="Arial" w:cs="Arial"/>
                <w:b/>
                <w:bCs/>
              </w:rPr>
            </w:pPr>
            <w:r>
              <w:rPr>
                <w:rFonts w:ascii="Arial" w:eastAsia="Arial" w:hAnsi="Arial" w:cs="Arial"/>
                <w:b/>
                <w:bCs/>
              </w:rPr>
              <w:t>Resolución 620 de 2008</w:t>
            </w:r>
          </w:p>
        </w:tc>
        <w:tc>
          <w:tcPr>
            <w:tcW w:w="3606" w:type="dxa"/>
            <w:tcBorders>
              <w:bottom w:val="single" w:sz="8" w:space="0" w:color="000000"/>
              <w:right w:val="single" w:sz="8" w:space="0" w:color="000000"/>
            </w:tcBorders>
            <w:tcMar>
              <w:top w:w="0" w:type="dxa"/>
              <w:left w:w="100" w:type="dxa"/>
              <w:bottom w:w="0" w:type="dxa"/>
              <w:right w:w="100" w:type="dxa"/>
            </w:tcMar>
          </w:tcPr>
          <w:p w14:paraId="6627B463" w14:textId="77777777" w:rsidR="008C03AC" w:rsidRDefault="000375DC">
            <w:pPr>
              <w:spacing w:after="0" w:line="276" w:lineRule="auto"/>
              <w:jc w:val="both"/>
              <w:rPr>
                <w:rFonts w:ascii="Arial" w:eastAsia="Arial" w:hAnsi="Arial" w:cs="Arial"/>
              </w:rPr>
            </w:pPr>
            <w:r>
              <w:rPr>
                <w:rFonts w:ascii="Arial" w:eastAsia="Arial" w:hAnsi="Arial" w:cs="Arial"/>
              </w:rPr>
              <w:t xml:space="preserve">Establece los procedimientos para los avalúos ordenados dentro del marco de la Ley 388 de 1997 </w:t>
            </w:r>
          </w:p>
        </w:tc>
        <w:tc>
          <w:tcPr>
            <w:tcW w:w="3735" w:type="dxa"/>
            <w:tcBorders>
              <w:bottom w:val="single" w:sz="8" w:space="0" w:color="000000"/>
              <w:right w:val="single" w:sz="8" w:space="0" w:color="000000"/>
            </w:tcBorders>
            <w:tcMar>
              <w:top w:w="0" w:type="dxa"/>
              <w:left w:w="100" w:type="dxa"/>
              <w:bottom w:w="0" w:type="dxa"/>
              <w:right w:w="100" w:type="dxa"/>
            </w:tcMar>
          </w:tcPr>
          <w:p w14:paraId="1C401DB2" w14:textId="77777777" w:rsidR="008C03AC" w:rsidRDefault="008C03AC">
            <w:pPr>
              <w:spacing w:after="0" w:line="276" w:lineRule="auto"/>
              <w:jc w:val="both"/>
              <w:rPr>
                <w:rFonts w:ascii="Arial" w:eastAsia="Arial" w:hAnsi="Arial" w:cs="Arial"/>
              </w:rPr>
            </w:pPr>
          </w:p>
        </w:tc>
      </w:tr>
      <w:tr w:rsidR="008C03AC" w14:paraId="2BF8125E" w14:textId="77777777">
        <w:trPr>
          <w:trHeight w:val="136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7BC3C92E" w14:textId="77777777" w:rsidR="008C03AC" w:rsidRDefault="000375DC">
            <w:pPr>
              <w:spacing w:after="0" w:line="276" w:lineRule="auto"/>
              <w:jc w:val="both"/>
              <w:rPr>
                <w:rFonts w:ascii="Arial" w:eastAsia="Arial" w:hAnsi="Arial" w:cs="Arial"/>
                <w:b/>
                <w:bCs/>
              </w:rPr>
            </w:pPr>
            <w:r>
              <w:rPr>
                <w:rFonts w:ascii="Arial" w:eastAsia="Arial" w:hAnsi="Arial" w:cs="Arial"/>
                <w:b/>
                <w:bCs/>
              </w:rPr>
              <w:t>Decreto 4054 de 2011</w:t>
            </w:r>
          </w:p>
        </w:tc>
        <w:tc>
          <w:tcPr>
            <w:tcW w:w="3606" w:type="dxa"/>
            <w:tcBorders>
              <w:bottom w:val="single" w:sz="8" w:space="0" w:color="000000"/>
              <w:right w:val="single" w:sz="8" w:space="0" w:color="000000"/>
            </w:tcBorders>
            <w:tcMar>
              <w:top w:w="0" w:type="dxa"/>
              <w:left w:w="100" w:type="dxa"/>
              <w:bottom w:w="0" w:type="dxa"/>
              <w:right w:w="100" w:type="dxa"/>
            </w:tcMar>
          </w:tcPr>
          <w:p w14:paraId="2109E964" w14:textId="77777777" w:rsidR="008C03AC" w:rsidRDefault="000375DC">
            <w:pPr>
              <w:spacing w:after="0" w:line="276" w:lineRule="auto"/>
              <w:jc w:val="both"/>
              <w:rPr>
                <w:rFonts w:ascii="Arial" w:eastAsia="Arial" w:hAnsi="Arial" w:cs="Arial"/>
              </w:rPr>
            </w:pPr>
            <w:r>
              <w:rPr>
                <w:rFonts w:ascii="Arial" w:eastAsia="Arial" w:hAnsi="Arial" w:cs="Arial"/>
              </w:rPr>
              <w:t xml:space="preserve">Reglamenta los artículos 8 (Ley 708/2011) y 238 (Ley 1450/2011). Obliga a las entidades públicas a </w:t>
            </w:r>
            <w:r>
              <w:rPr>
                <w:rFonts w:ascii="Arial" w:eastAsia="Arial" w:hAnsi="Arial" w:cs="Arial"/>
                <w:b/>
                <w:bCs/>
              </w:rPr>
              <w:t>reportar y actualizar sus</w:t>
            </w:r>
            <w:r>
              <w:rPr>
                <w:rFonts w:ascii="Arial" w:eastAsia="Arial" w:hAnsi="Arial" w:cs="Arial"/>
              </w:rPr>
              <w:t xml:space="preserve"> activos fijos inmobiliarios en el </w:t>
            </w:r>
            <w:r>
              <w:rPr>
                <w:rFonts w:ascii="Arial" w:eastAsia="Arial" w:hAnsi="Arial" w:cs="Arial"/>
                <w:b/>
                <w:bCs/>
              </w:rPr>
              <w:t>SIGA</w:t>
            </w:r>
            <w:r>
              <w:rPr>
                <w:rFonts w:ascii="Arial" w:eastAsia="Arial" w:hAnsi="Arial" w:cs="Arial"/>
              </w:rPr>
              <w:t>.</w:t>
            </w:r>
          </w:p>
        </w:tc>
        <w:tc>
          <w:tcPr>
            <w:tcW w:w="3735" w:type="dxa"/>
            <w:tcBorders>
              <w:bottom w:val="single" w:sz="8" w:space="0" w:color="000000"/>
              <w:right w:val="single" w:sz="8" w:space="0" w:color="000000"/>
            </w:tcBorders>
            <w:tcMar>
              <w:top w:w="0" w:type="dxa"/>
              <w:left w:w="100" w:type="dxa"/>
              <w:bottom w:w="0" w:type="dxa"/>
              <w:right w:w="100" w:type="dxa"/>
            </w:tcMar>
          </w:tcPr>
          <w:p w14:paraId="144B6897" w14:textId="77777777" w:rsidR="008C03AC" w:rsidRDefault="000375DC">
            <w:pPr>
              <w:spacing w:after="0" w:line="276" w:lineRule="auto"/>
              <w:jc w:val="both"/>
              <w:rPr>
                <w:rFonts w:ascii="Arial" w:eastAsia="Arial" w:hAnsi="Arial" w:cs="Arial"/>
              </w:rPr>
            </w:pPr>
            <w:r>
              <w:rPr>
                <w:rFonts w:ascii="Arial" w:eastAsia="Arial" w:hAnsi="Arial" w:cs="Arial"/>
              </w:rPr>
              <w:t>Reportar y mantener actualizada la información de bienes inmuebles en el Sistema SIGA.</w:t>
            </w:r>
          </w:p>
        </w:tc>
      </w:tr>
      <w:tr w:rsidR="008C03AC" w14:paraId="14D9BF05" w14:textId="77777777">
        <w:trPr>
          <w:trHeight w:val="109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E56BC0" w14:textId="77777777" w:rsidR="008C03AC" w:rsidRDefault="000375DC">
            <w:pPr>
              <w:spacing w:after="0" w:line="276" w:lineRule="auto"/>
              <w:jc w:val="both"/>
              <w:rPr>
                <w:rFonts w:ascii="Arial" w:eastAsia="Arial" w:hAnsi="Arial" w:cs="Arial"/>
                <w:b/>
                <w:bCs/>
              </w:rPr>
            </w:pPr>
            <w:r>
              <w:rPr>
                <w:rFonts w:ascii="Arial" w:eastAsia="Arial" w:hAnsi="Arial" w:cs="Arial"/>
                <w:b/>
                <w:bCs/>
              </w:rPr>
              <w:t>Resolución 1040 de 2023</w:t>
            </w:r>
          </w:p>
        </w:tc>
        <w:tc>
          <w:tcPr>
            <w:tcW w:w="3606" w:type="dxa"/>
            <w:tcBorders>
              <w:bottom w:val="single" w:sz="8" w:space="0" w:color="000000"/>
              <w:right w:val="single" w:sz="8" w:space="0" w:color="000000"/>
            </w:tcBorders>
            <w:tcMar>
              <w:top w:w="0" w:type="dxa"/>
              <w:left w:w="100" w:type="dxa"/>
              <w:bottom w:w="0" w:type="dxa"/>
              <w:right w:w="100" w:type="dxa"/>
            </w:tcMar>
          </w:tcPr>
          <w:p w14:paraId="0A638928" w14:textId="77777777" w:rsidR="008C03AC" w:rsidRDefault="000375DC">
            <w:pPr>
              <w:spacing w:after="0" w:line="276" w:lineRule="auto"/>
              <w:jc w:val="both"/>
              <w:rPr>
                <w:rFonts w:ascii="Arial" w:eastAsia="Arial" w:hAnsi="Arial" w:cs="Arial"/>
              </w:rPr>
            </w:pPr>
            <w:r>
              <w:rPr>
                <w:rFonts w:ascii="Arial" w:eastAsia="Arial" w:hAnsi="Arial" w:cs="Arial"/>
              </w:rPr>
              <w:t xml:space="preserve">Establece los </w:t>
            </w:r>
            <w:r>
              <w:rPr>
                <w:rFonts w:ascii="Arial" w:eastAsia="Arial" w:hAnsi="Arial" w:cs="Arial"/>
                <w:b/>
                <w:bCs/>
              </w:rPr>
              <w:t>lineamientos técnicos y metodológicos</w:t>
            </w:r>
            <w:r>
              <w:rPr>
                <w:rFonts w:ascii="Arial" w:eastAsia="Arial" w:hAnsi="Arial" w:cs="Arial"/>
              </w:rPr>
              <w:t xml:space="preserve"> para la </w:t>
            </w:r>
            <w:r>
              <w:rPr>
                <w:rFonts w:ascii="Arial" w:eastAsia="Arial" w:hAnsi="Arial" w:cs="Arial"/>
                <w:b/>
                <w:bCs/>
              </w:rPr>
              <w:t>administración y depuración de información catastral</w:t>
            </w:r>
            <w:r>
              <w:rPr>
                <w:rFonts w:ascii="Arial" w:eastAsia="Arial" w:hAnsi="Arial" w:cs="Arial"/>
              </w:rPr>
              <w:t>.</w:t>
            </w:r>
          </w:p>
        </w:tc>
        <w:tc>
          <w:tcPr>
            <w:tcW w:w="3735" w:type="dxa"/>
            <w:tcBorders>
              <w:bottom w:val="single" w:sz="8" w:space="0" w:color="000000"/>
              <w:right w:val="single" w:sz="8" w:space="0" w:color="000000"/>
            </w:tcBorders>
            <w:tcMar>
              <w:top w:w="0" w:type="dxa"/>
              <w:left w:w="100" w:type="dxa"/>
              <w:bottom w:w="0" w:type="dxa"/>
              <w:right w:w="100" w:type="dxa"/>
            </w:tcMar>
          </w:tcPr>
          <w:p w14:paraId="2791864B" w14:textId="77777777" w:rsidR="008C03AC" w:rsidRDefault="000375DC">
            <w:pPr>
              <w:spacing w:after="0" w:line="276" w:lineRule="auto"/>
              <w:jc w:val="both"/>
              <w:rPr>
                <w:rFonts w:ascii="Arial" w:eastAsia="Arial" w:hAnsi="Arial" w:cs="Arial"/>
              </w:rPr>
            </w:pPr>
            <w:r>
              <w:rPr>
                <w:rFonts w:ascii="Arial" w:eastAsia="Arial" w:hAnsi="Arial" w:cs="Arial"/>
              </w:rPr>
              <w:t>Administrar y actualizar correctamente la información catastral del municipio.</w:t>
            </w:r>
          </w:p>
        </w:tc>
      </w:tr>
      <w:tr w:rsidR="008C03AC" w14:paraId="6945F645" w14:textId="77777777">
        <w:trPr>
          <w:trHeight w:val="163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81D925" w14:textId="77777777" w:rsidR="008C03AC" w:rsidRDefault="000375DC">
            <w:pPr>
              <w:spacing w:after="0" w:line="276" w:lineRule="auto"/>
              <w:jc w:val="both"/>
              <w:rPr>
                <w:rFonts w:ascii="Arial" w:eastAsia="Arial" w:hAnsi="Arial" w:cs="Arial"/>
                <w:b/>
                <w:bCs/>
              </w:rPr>
            </w:pPr>
            <w:r>
              <w:rPr>
                <w:rFonts w:ascii="Arial" w:eastAsia="Arial" w:hAnsi="Arial" w:cs="Arial"/>
                <w:b/>
                <w:bCs/>
              </w:rPr>
              <w:t>Resolución 743 de 2013</w:t>
            </w:r>
          </w:p>
        </w:tc>
        <w:tc>
          <w:tcPr>
            <w:tcW w:w="3606" w:type="dxa"/>
            <w:tcBorders>
              <w:bottom w:val="single" w:sz="8" w:space="0" w:color="000000"/>
              <w:right w:val="single" w:sz="8" w:space="0" w:color="000000"/>
            </w:tcBorders>
            <w:tcMar>
              <w:top w:w="0" w:type="dxa"/>
              <w:left w:w="100" w:type="dxa"/>
              <w:bottom w:w="0" w:type="dxa"/>
              <w:right w:w="100" w:type="dxa"/>
            </w:tcMar>
          </w:tcPr>
          <w:p w14:paraId="10740802" w14:textId="77777777" w:rsidR="008C03AC" w:rsidRDefault="000375DC">
            <w:pPr>
              <w:spacing w:after="0" w:line="276" w:lineRule="auto"/>
              <w:jc w:val="both"/>
              <w:rPr>
                <w:rFonts w:ascii="Arial" w:eastAsia="Arial" w:hAnsi="Arial" w:cs="Arial"/>
              </w:rPr>
            </w:pPr>
            <w:r>
              <w:rPr>
                <w:rFonts w:ascii="Arial" w:eastAsia="Arial" w:hAnsi="Arial" w:cs="Arial"/>
              </w:rPr>
              <w:t xml:space="preserve">Establece el </w:t>
            </w:r>
            <w:r>
              <w:rPr>
                <w:rFonts w:ascii="Arial" w:eastAsia="Arial" w:hAnsi="Arial" w:cs="Arial"/>
                <w:b/>
                <w:bCs/>
              </w:rPr>
              <w:t>Marco Normativo para Entidades del Gobierno</w:t>
            </w:r>
            <w:r>
              <w:rPr>
                <w:rFonts w:ascii="Arial" w:eastAsia="Arial" w:hAnsi="Arial" w:cs="Arial"/>
              </w:rPr>
              <w:t xml:space="preserve"> (criterios contables para bienes públicos).</w:t>
            </w:r>
          </w:p>
        </w:tc>
        <w:tc>
          <w:tcPr>
            <w:tcW w:w="3735" w:type="dxa"/>
            <w:tcBorders>
              <w:bottom w:val="single" w:sz="8" w:space="0" w:color="000000"/>
              <w:right w:val="single" w:sz="8" w:space="0" w:color="000000"/>
            </w:tcBorders>
            <w:tcMar>
              <w:top w:w="0" w:type="dxa"/>
              <w:left w:w="100" w:type="dxa"/>
              <w:bottom w:w="0" w:type="dxa"/>
              <w:right w:w="100" w:type="dxa"/>
            </w:tcMar>
          </w:tcPr>
          <w:p w14:paraId="4E63E49B" w14:textId="77777777" w:rsidR="008C03AC" w:rsidRDefault="000375DC">
            <w:pPr>
              <w:spacing w:after="0" w:line="276" w:lineRule="auto"/>
              <w:jc w:val="both"/>
              <w:rPr>
                <w:rFonts w:ascii="Arial" w:eastAsia="Arial" w:hAnsi="Arial" w:cs="Arial"/>
              </w:rPr>
            </w:pPr>
            <w:r>
              <w:rPr>
                <w:rFonts w:ascii="Arial" w:eastAsia="Arial" w:hAnsi="Arial" w:cs="Arial"/>
              </w:rPr>
              <w:t xml:space="preserve">Mantener actualizado el </w:t>
            </w:r>
            <w:r>
              <w:rPr>
                <w:rFonts w:ascii="Arial" w:eastAsia="Arial" w:hAnsi="Arial" w:cs="Arial"/>
                <w:b/>
                <w:bCs/>
              </w:rPr>
              <w:t xml:space="preserve">inventario </w:t>
            </w:r>
            <w:r>
              <w:rPr>
                <w:rFonts w:ascii="Arial" w:eastAsia="Arial" w:hAnsi="Arial" w:cs="Arial"/>
              </w:rPr>
              <w:t>de bienes muebles, inmuebles, de uso público e intangibles. El inventario debe estar conciliado con los registros contables.</w:t>
            </w:r>
          </w:p>
        </w:tc>
      </w:tr>
      <w:tr w:rsidR="008C03AC" w14:paraId="7A568CAC" w14:textId="77777777">
        <w:trPr>
          <w:trHeight w:val="1095"/>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05A310" w14:textId="77777777" w:rsidR="008C03AC" w:rsidRDefault="000375DC">
            <w:pPr>
              <w:spacing w:after="0" w:line="276" w:lineRule="auto"/>
              <w:jc w:val="both"/>
              <w:rPr>
                <w:rFonts w:ascii="Arial" w:eastAsia="Arial" w:hAnsi="Arial" w:cs="Arial"/>
                <w:b/>
                <w:bCs/>
              </w:rPr>
            </w:pPr>
            <w:r>
              <w:rPr>
                <w:rFonts w:ascii="Arial" w:eastAsia="Arial" w:hAnsi="Arial" w:cs="Arial"/>
                <w:b/>
                <w:bCs/>
              </w:rPr>
              <w:t>Resolución 09176 de 2020 Superintendencia de Notariado y Registro</w:t>
            </w:r>
          </w:p>
        </w:tc>
        <w:tc>
          <w:tcPr>
            <w:tcW w:w="3606" w:type="dxa"/>
            <w:tcBorders>
              <w:bottom w:val="single" w:sz="8" w:space="0" w:color="000000"/>
              <w:right w:val="single" w:sz="8" w:space="0" w:color="000000"/>
            </w:tcBorders>
            <w:tcMar>
              <w:top w:w="0" w:type="dxa"/>
              <w:left w:w="100" w:type="dxa"/>
              <w:bottom w:w="0" w:type="dxa"/>
              <w:right w:w="100" w:type="dxa"/>
            </w:tcMar>
          </w:tcPr>
          <w:p w14:paraId="3F4D692A" w14:textId="77777777" w:rsidR="008C03AC" w:rsidRDefault="000375DC">
            <w:pPr>
              <w:spacing w:after="0" w:line="276" w:lineRule="auto"/>
              <w:jc w:val="both"/>
              <w:rPr>
                <w:rFonts w:ascii="Arial" w:eastAsia="Arial" w:hAnsi="Arial" w:cs="Arial"/>
              </w:rPr>
            </w:pPr>
            <w:r>
              <w:rPr>
                <w:rFonts w:ascii="Arial" w:eastAsia="Arial" w:hAnsi="Arial" w:cs="Arial"/>
              </w:rPr>
              <w:t>Establece los requisitos documentales y procedimentales para la inscripción de actos administrativos de titulación de bienes afectos al uso público.</w:t>
            </w:r>
          </w:p>
        </w:tc>
        <w:tc>
          <w:tcPr>
            <w:tcW w:w="3735" w:type="dxa"/>
            <w:tcBorders>
              <w:bottom w:val="single" w:sz="8" w:space="0" w:color="000000"/>
              <w:right w:val="single" w:sz="8" w:space="0" w:color="000000"/>
            </w:tcBorders>
            <w:tcMar>
              <w:top w:w="0" w:type="dxa"/>
              <w:left w:w="100" w:type="dxa"/>
              <w:bottom w:w="0" w:type="dxa"/>
              <w:right w:w="100" w:type="dxa"/>
            </w:tcMar>
          </w:tcPr>
          <w:p w14:paraId="17C84D9F" w14:textId="77777777" w:rsidR="008C03AC" w:rsidRDefault="008C03AC">
            <w:pPr>
              <w:spacing w:after="0" w:line="276" w:lineRule="auto"/>
              <w:jc w:val="both"/>
              <w:rPr>
                <w:rFonts w:ascii="Arial" w:eastAsia="Arial" w:hAnsi="Arial" w:cs="Arial"/>
              </w:rPr>
            </w:pPr>
          </w:p>
        </w:tc>
      </w:tr>
    </w:tbl>
    <w:p w14:paraId="655FA05D" w14:textId="77777777" w:rsidR="008C03AC" w:rsidRPr="001923ED" w:rsidRDefault="000375DC">
      <w:pPr>
        <w:spacing w:line="276" w:lineRule="auto"/>
        <w:jc w:val="center"/>
        <w:rPr>
          <w:rFonts w:ascii="Arial" w:eastAsia="Arial" w:hAnsi="Arial" w:cs="Arial"/>
          <w:b/>
          <w:bCs/>
          <w:sz w:val="18"/>
          <w:szCs w:val="18"/>
        </w:rPr>
      </w:pPr>
      <w:bookmarkStart w:id="64" w:name="_heading=h.rktf74v2noxo" w:colFirst="0" w:colLast="0"/>
      <w:bookmarkEnd w:id="64"/>
      <w:r w:rsidRPr="001923ED">
        <w:rPr>
          <w:rFonts w:ascii="Arial" w:eastAsia="Arial" w:hAnsi="Arial" w:cs="Arial"/>
          <w:sz w:val="18"/>
          <w:szCs w:val="18"/>
        </w:rPr>
        <w:t>Fuente: Elaboración propia tomada de las normas</w:t>
      </w:r>
    </w:p>
    <w:p w14:paraId="2097EF9F" w14:textId="77777777" w:rsidR="008C03AC" w:rsidRDefault="008C03AC">
      <w:pPr>
        <w:spacing w:before="240" w:after="240" w:line="276" w:lineRule="auto"/>
        <w:rPr>
          <w:rFonts w:ascii="Arial" w:eastAsia="Arial" w:hAnsi="Arial" w:cs="Arial"/>
          <w:b/>
          <w:bCs/>
        </w:rPr>
      </w:pPr>
    </w:p>
    <w:p w14:paraId="20969658" w14:textId="77777777" w:rsidR="00B94C08" w:rsidRDefault="00B94C08">
      <w:pPr>
        <w:spacing w:before="240" w:after="240" w:line="276" w:lineRule="auto"/>
        <w:rPr>
          <w:rFonts w:ascii="Arial" w:eastAsia="Arial" w:hAnsi="Arial" w:cs="Arial"/>
          <w:b/>
          <w:bCs/>
        </w:rPr>
      </w:pPr>
    </w:p>
    <w:p w14:paraId="7FD06672" w14:textId="77777777" w:rsidR="008C03AC" w:rsidRDefault="000375DC">
      <w:pPr>
        <w:spacing w:before="240" w:after="240" w:line="276" w:lineRule="auto"/>
        <w:jc w:val="center"/>
        <w:rPr>
          <w:rFonts w:ascii="Arial" w:eastAsia="Arial" w:hAnsi="Arial" w:cs="Arial"/>
          <w:b/>
          <w:bCs/>
        </w:rPr>
      </w:pPr>
      <w:r>
        <w:rPr>
          <w:rFonts w:ascii="Arial" w:eastAsia="Arial" w:hAnsi="Arial" w:cs="Arial"/>
          <w:b/>
          <w:bCs/>
        </w:rPr>
        <w:lastRenderedPageBreak/>
        <w:t xml:space="preserve">Anexo 2. </w:t>
      </w:r>
    </w:p>
    <w:p w14:paraId="78F732C0" w14:textId="4C1277A0" w:rsidR="008C03AC" w:rsidRDefault="000375DC">
      <w:pPr>
        <w:shd w:val="clear" w:color="auto" w:fill="FFFFFF"/>
        <w:spacing w:before="240" w:after="240" w:line="276" w:lineRule="auto"/>
        <w:jc w:val="center"/>
        <w:rPr>
          <w:rFonts w:ascii="Arial" w:eastAsia="Arial" w:hAnsi="Arial" w:cs="Arial"/>
          <w:b/>
          <w:bCs/>
        </w:rPr>
      </w:pPr>
      <w:r>
        <w:rPr>
          <w:rFonts w:ascii="Arial" w:eastAsia="Arial" w:hAnsi="Arial" w:cs="Arial"/>
          <w:b/>
          <w:bCs/>
        </w:rPr>
        <w:t>Atributos para actualizar en el Inventario Municipal</w:t>
      </w:r>
    </w:p>
    <w:tbl>
      <w:tblPr>
        <w:tblStyle w:val="ac"/>
        <w:tblW w:w="88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9"/>
        <w:gridCol w:w="6129"/>
      </w:tblGrid>
      <w:tr w:rsidR="008C03AC" w14:paraId="128EF069" w14:textId="77777777">
        <w:trPr>
          <w:trHeight w:val="339"/>
        </w:trPr>
        <w:tc>
          <w:tcPr>
            <w:tcW w:w="2709" w:type="dxa"/>
            <w:tcBorders>
              <w:top w:val="single" w:sz="5" w:space="0" w:color="000000"/>
              <w:left w:val="single" w:sz="5" w:space="0" w:color="000000"/>
              <w:bottom w:val="single" w:sz="5" w:space="0" w:color="000000"/>
              <w:right w:val="single" w:sz="5" w:space="0" w:color="000000"/>
            </w:tcBorders>
            <w:shd w:val="clear" w:color="auto" w:fill="B8CCE4"/>
            <w:tcMar>
              <w:top w:w="100" w:type="dxa"/>
              <w:left w:w="100" w:type="dxa"/>
              <w:bottom w:w="100" w:type="dxa"/>
              <w:right w:w="100" w:type="dxa"/>
            </w:tcMar>
            <w:vAlign w:val="center"/>
          </w:tcPr>
          <w:p w14:paraId="3E62DC06" w14:textId="77777777" w:rsidR="008C03AC" w:rsidRDefault="000375DC">
            <w:pPr>
              <w:spacing w:after="0" w:line="276" w:lineRule="auto"/>
              <w:jc w:val="center"/>
              <w:rPr>
                <w:rFonts w:ascii="Arial" w:eastAsia="Arial" w:hAnsi="Arial" w:cs="Arial"/>
                <w:b/>
                <w:bCs/>
              </w:rPr>
            </w:pPr>
            <w:r>
              <w:rPr>
                <w:rFonts w:ascii="Arial" w:eastAsia="Arial" w:hAnsi="Arial" w:cs="Arial"/>
                <w:b/>
                <w:bCs/>
              </w:rPr>
              <w:t>ATRIBUTO</w:t>
            </w:r>
          </w:p>
        </w:tc>
        <w:tc>
          <w:tcPr>
            <w:tcW w:w="6129" w:type="dxa"/>
            <w:tcBorders>
              <w:top w:val="single" w:sz="5" w:space="0" w:color="000000"/>
              <w:left w:val="nil"/>
              <w:bottom w:val="single" w:sz="5" w:space="0" w:color="000000"/>
              <w:right w:val="single" w:sz="5" w:space="0" w:color="000000"/>
            </w:tcBorders>
            <w:shd w:val="clear" w:color="auto" w:fill="B8CCE4"/>
            <w:tcMar>
              <w:top w:w="100" w:type="dxa"/>
              <w:left w:w="100" w:type="dxa"/>
              <w:bottom w:w="100" w:type="dxa"/>
              <w:right w:w="100" w:type="dxa"/>
            </w:tcMar>
            <w:vAlign w:val="center"/>
          </w:tcPr>
          <w:p w14:paraId="719F97C9" w14:textId="77777777" w:rsidR="008C03AC" w:rsidRDefault="000375DC">
            <w:pPr>
              <w:spacing w:after="0" w:line="276" w:lineRule="auto"/>
              <w:jc w:val="center"/>
              <w:rPr>
                <w:rFonts w:ascii="Arial" w:eastAsia="Arial" w:hAnsi="Arial" w:cs="Arial"/>
                <w:b/>
                <w:bCs/>
              </w:rPr>
            </w:pPr>
            <w:r>
              <w:rPr>
                <w:rFonts w:ascii="Arial" w:eastAsia="Arial" w:hAnsi="Arial" w:cs="Arial"/>
                <w:b/>
                <w:bCs/>
              </w:rPr>
              <w:t>DESCRIPCIÓN</w:t>
            </w:r>
          </w:p>
        </w:tc>
      </w:tr>
      <w:tr w:rsidR="008C03AC" w14:paraId="1F629C27" w14:textId="77777777">
        <w:trPr>
          <w:trHeight w:val="934"/>
        </w:trPr>
        <w:tc>
          <w:tcPr>
            <w:tcW w:w="270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A99F53" w14:textId="77777777" w:rsidR="008C03AC" w:rsidRDefault="000375DC">
            <w:pPr>
              <w:shd w:val="clear" w:color="auto" w:fill="FFFFFF"/>
              <w:spacing w:after="0" w:line="276" w:lineRule="auto"/>
              <w:jc w:val="center"/>
              <w:rPr>
                <w:rFonts w:ascii="Arial" w:eastAsia="Arial" w:hAnsi="Arial" w:cs="Arial"/>
              </w:rPr>
            </w:pPr>
            <w:proofErr w:type="spellStart"/>
            <w:r>
              <w:rPr>
                <w:rFonts w:ascii="Arial" w:eastAsia="Arial" w:hAnsi="Arial" w:cs="Arial"/>
              </w:rPr>
              <w:t>Ruta_Saneamiento</w:t>
            </w:r>
            <w:proofErr w:type="spellEnd"/>
          </w:p>
        </w:tc>
        <w:tc>
          <w:tcPr>
            <w:tcW w:w="6129" w:type="dxa"/>
            <w:tcBorders>
              <w:top w:val="nil"/>
              <w:left w:val="nil"/>
              <w:bottom w:val="single" w:sz="5" w:space="0" w:color="000000"/>
              <w:right w:val="single" w:sz="5" w:space="0" w:color="000000"/>
            </w:tcBorders>
            <w:tcMar>
              <w:top w:w="100" w:type="dxa"/>
              <w:left w:w="100" w:type="dxa"/>
              <w:bottom w:w="100" w:type="dxa"/>
              <w:right w:w="100" w:type="dxa"/>
            </w:tcMar>
          </w:tcPr>
          <w:p w14:paraId="5651E8F3" w14:textId="77777777" w:rsidR="008C03AC" w:rsidRDefault="000375DC">
            <w:pPr>
              <w:shd w:val="clear" w:color="auto" w:fill="FFFFFF"/>
              <w:spacing w:after="0" w:line="276" w:lineRule="auto"/>
              <w:jc w:val="center"/>
              <w:rPr>
                <w:rFonts w:ascii="Arial" w:eastAsia="Arial" w:hAnsi="Arial" w:cs="Arial"/>
              </w:rPr>
            </w:pPr>
            <w:r>
              <w:rPr>
                <w:rFonts w:ascii="Arial" w:eastAsia="Arial" w:hAnsi="Arial" w:cs="Arial"/>
              </w:rPr>
              <w:t xml:space="preserve">Corresponde a la ruta asignada para adelantar el proceso de formalización o legalización. Los valores definidos para el campo son: </w:t>
            </w:r>
            <w:proofErr w:type="spellStart"/>
            <w:r>
              <w:rPr>
                <w:rFonts w:ascii="Arial" w:eastAsia="Arial" w:hAnsi="Arial" w:cs="Arial"/>
              </w:rPr>
              <w:t>Legalizacion_uso_publico</w:t>
            </w:r>
            <w:proofErr w:type="spellEnd"/>
          </w:p>
        </w:tc>
      </w:tr>
      <w:tr w:rsidR="008C03AC" w14:paraId="17167395" w14:textId="77777777">
        <w:trPr>
          <w:trHeight w:val="1590"/>
        </w:trPr>
        <w:tc>
          <w:tcPr>
            <w:tcW w:w="270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50D50E6" w14:textId="77777777" w:rsidR="008C03AC" w:rsidRDefault="000375DC">
            <w:pPr>
              <w:shd w:val="clear" w:color="auto" w:fill="FFFFFF"/>
              <w:spacing w:after="0" w:line="276" w:lineRule="auto"/>
              <w:jc w:val="center"/>
              <w:rPr>
                <w:rFonts w:ascii="Arial" w:eastAsia="Arial" w:hAnsi="Arial" w:cs="Arial"/>
              </w:rPr>
            </w:pPr>
            <w:r>
              <w:rPr>
                <w:rFonts w:ascii="Arial" w:eastAsia="Arial" w:hAnsi="Arial" w:cs="Arial"/>
              </w:rPr>
              <w:t xml:space="preserve"> </w:t>
            </w:r>
            <w:proofErr w:type="spellStart"/>
            <w:r>
              <w:rPr>
                <w:rFonts w:ascii="Arial" w:eastAsia="Arial" w:hAnsi="Arial" w:cs="Arial"/>
              </w:rPr>
              <w:t>Estado_Proceso</w:t>
            </w:r>
            <w:proofErr w:type="spellEnd"/>
          </w:p>
        </w:tc>
        <w:tc>
          <w:tcPr>
            <w:tcW w:w="6129" w:type="dxa"/>
            <w:tcBorders>
              <w:top w:val="nil"/>
              <w:left w:val="nil"/>
              <w:bottom w:val="single" w:sz="5" w:space="0" w:color="000000"/>
              <w:right w:val="single" w:sz="5" w:space="0" w:color="000000"/>
            </w:tcBorders>
            <w:tcMar>
              <w:top w:w="100" w:type="dxa"/>
              <w:left w:w="100" w:type="dxa"/>
              <w:bottom w:w="100" w:type="dxa"/>
              <w:right w:w="100" w:type="dxa"/>
            </w:tcMar>
          </w:tcPr>
          <w:p w14:paraId="0AE53B09" w14:textId="77777777" w:rsidR="008C03AC" w:rsidRDefault="000375DC">
            <w:pPr>
              <w:shd w:val="clear" w:color="auto" w:fill="FFFFFF"/>
              <w:spacing w:after="0" w:line="276" w:lineRule="auto"/>
              <w:jc w:val="center"/>
              <w:rPr>
                <w:rFonts w:ascii="Arial" w:eastAsia="Arial" w:hAnsi="Arial" w:cs="Arial"/>
              </w:rPr>
            </w:pPr>
            <w:r>
              <w:rPr>
                <w:rFonts w:ascii="Arial" w:eastAsia="Arial" w:hAnsi="Arial" w:cs="Arial"/>
              </w:rPr>
              <w:t xml:space="preserve">Corresponde al estado del proceso al interior de la ruta de saneamiento seleccionada. Los valores definidos para el campo son: Estudio técnico jurídico; </w:t>
            </w:r>
            <w:proofErr w:type="spellStart"/>
            <w:r>
              <w:rPr>
                <w:rFonts w:ascii="Arial" w:eastAsia="Arial" w:hAnsi="Arial" w:cs="Arial"/>
              </w:rPr>
              <w:t>Emisión_acto_administrativo</w:t>
            </w:r>
            <w:proofErr w:type="spellEnd"/>
            <w:r>
              <w:rPr>
                <w:rFonts w:ascii="Arial" w:eastAsia="Arial" w:hAnsi="Arial" w:cs="Arial"/>
              </w:rPr>
              <w:t xml:space="preserve">; </w:t>
            </w:r>
            <w:proofErr w:type="spellStart"/>
            <w:r>
              <w:rPr>
                <w:rFonts w:ascii="Arial" w:eastAsia="Arial" w:hAnsi="Arial" w:cs="Arial"/>
              </w:rPr>
              <w:t>Acto_administrativo_en_firme</w:t>
            </w:r>
            <w:proofErr w:type="spellEnd"/>
            <w:r>
              <w:rPr>
                <w:rFonts w:ascii="Arial" w:eastAsia="Arial" w:hAnsi="Arial" w:cs="Arial"/>
              </w:rPr>
              <w:t xml:space="preserve">; </w:t>
            </w:r>
            <w:proofErr w:type="spellStart"/>
            <w:r>
              <w:rPr>
                <w:rFonts w:ascii="Arial" w:eastAsia="Arial" w:hAnsi="Arial" w:cs="Arial"/>
              </w:rPr>
              <w:t>Acto_administrativo_registrado</w:t>
            </w:r>
            <w:proofErr w:type="spellEnd"/>
            <w:r>
              <w:rPr>
                <w:rFonts w:ascii="Arial" w:eastAsia="Arial" w:hAnsi="Arial" w:cs="Arial"/>
              </w:rPr>
              <w:t xml:space="preserve">; y </w:t>
            </w:r>
            <w:proofErr w:type="spellStart"/>
            <w:r>
              <w:rPr>
                <w:rFonts w:ascii="Arial" w:eastAsia="Arial" w:hAnsi="Arial" w:cs="Arial"/>
              </w:rPr>
              <w:t>Acto_administrativo_remitido</w:t>
            </w:r>
            <w:proofErr w:type="spellEnd"/>
            <w:r>
              <w:rPr>
                <w:rFonts w:ascii="Arial" w:eastAsia="Arial" w:hAnsi="Arial" w:cs="Arial"/>
              </w:rPr>
              <w:t xml:space="preserve"> </w:t>
            </w:r>
            <w:proofErr w:type="spellStart"/>
            <w:r>
              <w:rPr>
                <w:rFonts w:ascii="Arial" w:eastAsia="Arial" w:hAnsi="Arial" w:cs="Arial"/>
              </w:rPr>
              <w:t>al_Gestor_Catastral</w:t>
            </w:r>
            <w:proofErr w:type="spellEnd"/>
            <w:r>
              <w:rPr>
                <w:rFonts w:ascii="Arial" w:eastAsia="Arial" w:hAnsi="Arial" w:cs="Arial"/>
              </w:rPr>
              <w:t>.</w:t>
            </w:r>
          </w:p>
        </w:tc>
      </w:tr>
      <w:tr w:rsidR="008C03AC" w14:paraId="6539B83A" w14:textId="77777777">
        <w:trPr>
          <w:trHeight w:val="618"/>
        </w:trPr>
        <w:tc>
          <w:tcPr>
            <w:tcW w:w="270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35CCE27" w14:textId="77777777" w:rsidR="008C03AC" w:rsidRDefault="000375DC">
            <w:pPr>
              <w:shd w:val="clear" w:color="auto" w:fill="FFFFFF"/>
              <w:spacing w:after="0" w:line="276" w:lineRule="auto"/>
              <w:jc w:val="center"/>
              <w:rPr>
                <w:rFonts w:ascii="Arial" w:eastAsia="Arial" w:hAnsi="Arial" w:cs="Arial"/>
              </w:rPr>
            </w:pPr>
            <w:r>
              <w:rPr>
                <w:rFonts w:ascii="Arial" w:eastAsia="Arial" w:hAnsi="Arial" w:cs="Arial"/>
              </w:rPr>
              <w:t>Título</w:t>
            </w:r>
          </w:p>
        </w:tc>
        <w:tc>
          <w:tcPr>
            <w:tcW w:w="6129" w:type="dxa"/>
            <w:tcBorders>
              <w:top w:val="nil"/>
              <w:left w:val="nil"/>
              <w:bottom w:val="single" w:sz="5" w:space="0" w:color="000000"/>
              <w:right w:val="single" w:sz="5" w:space="0" w:color="000000"/>
            </w:tcBorders>
            <w:tcMar>
              <w:top w:w="100" w:type="dxa"/>
              <w:left w:w="100" w:type="dxa"/>
              <w:bottom w:w="100" w:type="dxa"/>
              <w:right w:w="100" w:type="dxa"/>
            </w:tcMar>
          </w:tcPr>
          <w:p w14:paraId="2A5DA2C2" w14:textId="77777777" w:rsidR="008C03AC" w:rsidRDefault="000375DC">
            <w:pPr>
              <w:shd w:val="clear" w:color="auto" w:fill="FFFFFF"/>
              <w:spacing w:after="0" w:line="276" w:lineRule="auto"/>
              <w:jc w:val="center"/>
              <w:rPr>
                <w:rFonts w:ascii="Arial" w:eastAsia="Arial" w:hAnsi="Arial" w:cs="Arial"/>
              </w:rPr>
            </w:pPr>
            <w:r>
              <w:rPr>
                <w:rFonts w:ascii="Arial" w:eastAsia="Arial" w:hAnsi="Arial" w:cs="Arial"/>
              </w:rPr>
              <w:t>Corresponde al acto administrativo expedido por el municipio que soporta la ruta seleccionada.</w:t>
            </w:r>
          </w:p>
        </w:tc>
      </w:tr>
      <w:tr w:rsidR="008C03AC" w14:paraId="47F57D23" w14:textId="77777777">
        <w:trPr>
          <w:trHeight w:val="360"/>
        </w:trPr>
        <w:tc>
          <w:tcPr>
            <w:tcW w:w="270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25D7B68" w14:textId="77777777" w:rsidR="008C03AC" w:rsidRDefault="000375DC">
            <w:pPr>
              <w:shd w:val="clear" w:color="auto" w:fill="FFFFFF"/>
              <w:spacing w:after="0" w:line="276" w:lineRule="auto"/>
              <w:jc w:val="center"/>
              <w:rPr>
                <w:rFonts w:ascii="Arial" w:eastAsia="Arial" w:hAnsi="Arial" w:cs="Arial"/>
              </w:rPr>
            </w:pPr>
            <w:proofErr w:type="spellStart"/>
            <w:r>
              <w:rPr>
                <w:rFonts w:ascii="Arial" w:eastAsia="Arial" w:hAnsi="Arial" w:cs="Arial"/>
              </w:rPr>
              <w:t>Fecha_Titulo</w:t>
            </w:r>
            <w:proofErr w:type="spellEnd"/>
          </w:p>
        </w:tc>
        <w:tc>
          <w:tcPr>
            <w:tcW w:w="6129" w:type="dxa"/>
            <w:tcBorders>
              <w:top w:val="nil"/>
              <w:left w:val="nil"/>
              <w:bottom w:val="single" w:sz="5" w:space="0" w:color="000000"/>
              <w:right w:val="single" w:sz="5" w:space="0" w:color="000000"/>
            </w:tcBorders>
            <w:tcMar>
              <w:top w:w="100" w:type="dxa"/>
              <w:left w:w="100" w:type="dxa"/>
              <w:bottom w:w="100" w:type="dxa"/>
              <w:right w:w="100" w:type="dxa"/>
            </w:tcMar>
          </w:tcPr>
          <w:p w14:paraId="07544C08" w14:textId="77777777" w:rsidR="008C03AC" w:rsidRDefault="000375DC">
            <w:pPr>
              <w:shd w:val="clear" w:color="auto" w:fill="FFFFFF"/>
              <w:spacing w:after="0" w:line="276" w:lineRule="auto"/>
              <w:jc w:val="center"/>
              <w:rPr>
                <w:rFonts w:ascii="Arial" w:eastAsia="Arial" w:hAnsi="Arial" w:cs="Arial"/>
              </w:rPr>
            </w:pPr>
            <w:r>
              <w:rPr>
                <w:rFonts w:ascii="Arial" w:eastAsia="Arial" w:hAnsi="Arial" w:cs="Arial"/>
              </w:rPr>
              <w:t>Fecha de expedición del acto administrativo</w:t>
            </w:r>
          </w:p>
        </w:tc>
      </w:tr>
    </w:tbl>
    <w:p w14:paraId="2FCE8454" w14:textId="77777777" w:rsidR="008C03AC" w:rsidRPr="001923ED" w:rsidRDefault="000375DC">
      <w:pPr>
        <w:shd w:val="clear" w:color="auto" w:fill="FFFFFF"/>
        <w:spacing w:before="240" w:after="240" w:line="276" w:lineRule="auto"/>
        <w:jc w:val="center"/>
        <w:rPr>
          <w:rFonts w:ascii="Arial" w:eastAsia="Arial" w:hAnsi="Arial" w:cs="Arial"/>
          <w:sz w:val="18"/>
          <w:szCs w:val="18"/>
        </w:rPr>
      </w:pPr>
      <w:r w:rsidRPr="001923ED">
        <w:rPr>
          <w:rFonts w:ascii="Arial" w:eastAsia="Arial" w:hAnsi="Arial" w:cs="Arial"/>
          <w:sz w:val="18"/>
          <w:szCs w:val="18"/>
        </w:rPr>
        <w:t>Fuente: Elaboración propia</w:t>
      </w:r>
    </w:p>
    <w:p w14:paraId="20B7517A" w14:textId="77777777" w:rsidR="008C03AC" w:rsidRDefault="008C03AC">
      <w:pPr>
        <w:shd w:val="clear" w:color="auto" w:fill="FFFFFF"/>
        <w:spacing w:before="240" w:after="240" w:line="276" w:lineRule="auto"/>
        <w:jc w:val="center"/>
        <w:rPr>
          <w:rFonts w:ascii="Arial" w:eastAsia="Arial" w:hAnsi="Arial" w:cs="Arial"/>
        </w:rPr>
      </w:pPr>
    </w:p>
    <w:p w14:paraId="33BD6952" w14:textId="77777777" w:rsidR="008C03AC" w:rsidRDefault="008C03AC">
      <w:pPr>
        <w:shd w:val="clear" w:color="auto" w:fill="FFFFFF"/>
        <w:spacing w:before="240" w:after="240" w:line="276" w:lineRule="auto"/>
        <w:jc w:val="both"/>
        <w:rPr>
          <w:rFonts w:ascii="Arial" w:eastAsia="Arial" w:hAnsi="Arial" w:cs="Arial"/>
        </w:rPr>
      </w:pPr>
    </w:p>
    <w:sectPr w:rsidR="008C03AC">
      <w:headerReference w:type="default" r:id="rId1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D1386" w14:textId="77777777" w:rsidR="00C041BD" w:rsidRDefault="00C041BD">
      <w:pPr>
        <w:spacing w:after="0" w:line="240" w:lineRule="auto"/>
      </w:pPr>
      <w:r>
        <w:separator/>
      </w:r>
    </w:p>
  </w:endnote>
  <w:endnote w:type="continuationSeparator" w:id="0">
    <w:p w14:paraId="431620FD" w14:textId="77777777" w:rsidR="00C041BD" w:rsidRDefault="00C04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C50354B-5466-4CAB-A973-EC7333B8974C}"/>
    <w:embedBold r:id="rId2" w:fontKey="{39F223AF-3684-4FFB-B10B-4D67DB13B830}"/>
    <w:embedItalic r:id="rId3" w:fontKey="{A84FC927-325D-4518-A9EE-6488CE283AD8}"/>
  </w:font>
  <w:font w:name="Play">
    <w:charset w:val="00"/>
    <w:family w:val="auto"/>
    <w:pitch w:val="default"/>
    <w:embedRegular r:id="rId4" w:fontKey="{77C7B714-CF7A-47BB-8A35-B1B0CC10B229}"/>
    <w:embedBold r:id="rId5" w:fontKey="{B1CFE2A4-CE18-4EDF-A11F-B39AB5D77630}"/>
  </w:font>
  <w:font w:name="Calibri">
    <w:panose1 w:val="020F0502020204030204"/>
    <w:charset w:val="00"/>
    <w:family w:val="swiss"/>
    <w:pitch w:val="variable"/>
    <w:sig w:usb0="E4002EFF" w:usb1="C000247B" w:usb2="00000009" w:usb3="00000000" w:csb0="000001FF" w:csb1="00000000"/>
    <w:embedRegular r:id="rId6" w:fontKey="{932045C7-4AA9-4558-AFC7-FF374F6B6A64}"/>
  </w:font>
  <w:font w:name="Arial Narrow">
    <w:panose1 w:val="020B0606020202030204"/>
    <w:charset w:val="00"/>
    <w:family w:val="swiss"/>
    <w:pitch w:val="variable"/>
    <w:sig w:usb0="00000287" w:usb1="00000800" w:usb2="00000000" w:usb3="00000000" w:csb0="0000009F" w:csb1="00000000"/>
    <w:embedRegular r:id="rId7" w:fontKey="{D7C74A70-2ACE-4B3E-AF85-9D6A7ADF4E10}"/>
    <w:embedBold r:id="rId8" w:fontKey="{F93520BF-BAD5-40AA-8AF1-9E3C736330D1}"/>
  </w:font>
  <w:font w:name="Cambria">
    <w:panose1 w:val="02040503050406030204"/>
    <w:charset w:val="00"/>
    <w:family w:val="roman"/>
    <w:pitch w:val="variable"/>
    <w:sig w:usb0="E00006FF" w:usb1="420024FF" w:usb2="02000000" w:usb3="00000000" w:csb0="0000019F" w:csb1="00000000"/>
    <w:embedRegular r:id="rId9" w:fontKey="{A4446508-E886-4709-8361-CE85FB1092E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B2239" w14:textId="77777777" w:rsidR="00C041BD" w:rsidRDefault="00C041BD">
      <w:pPr>
        <w:spacing w:after="0" w:line="240" w:lineRule="auto"/>
      </w:pPr>
      <w:r>
        <w:separator/>
      </w:r>
    </w:p>
  </w:footnote>
  <w:footnote w:type="continuationSeparator" w:id="0">
    <w:p w14:paraId="195B530D" w14:textId="77777777" w:rsidR="00C041BD" w:rsidRDefault="00C041BD">
      <w:pPr>
        <w:spacing w:after="0" w:line="240" w:lineRule="auto"/>
      </w:pPr>
      <w:r>
        <w:continuationSeparator/>
      </w:r>
    </w:p>
  </w:footnote>
  <w:footnote w:id="1">
    <w:p w14:paraId="168601C8" w14:textId="76F220F5" w:rsidR="008C03AC" w:rsidRDefault="000375DC" w:rsidP="004578F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sidRPr="004578F0">
        <w:rPr>
          <w:rFonts w:ascii="Arial" w:hAnsi="Arial" w:cs="Arial"/>
          <w:color w:val="000000"/>
          <w:sz w:val="18"/>
          <w:szCs w:val="18"/>
        </w:rPr>
        <w:t xml:space="preserve">De otra forma; son aquellos bienes o zonas de espacio </w:t>
      </w:r>
      <w:r w:rsidR="004578F0" w:rsidRPr="004578F0">
        <w:rPr>
          <w:rFonts w:ascii="Arial" w:hAnsi="Arial" w:cs="Arial"/>
          <w:color w:val="000000"/>
          <w:sz w:val="18"/>
          <w:szCs w:val="18"/>
        </w:rPr>
        <w:t>público</w:t>
      </w:r>
      <w:r w:rsidRPr="004578F0">
        <w:rPr>
          <w:rFonts w:ascii="Arial" w:hAnsi="Arial" w:cs="Arial"/>
          <w:color w:val="000000"/>
          <w:sz w:val="18"/>
          <w:szCs w:val="18"/>
        </w:rPr>
        <w:t xml:space="preserve"> e infraestructura vial consolidadas y transferidas al municipio a través de los procesos de legalización de asentamientos informales</w:t>
      </w:r>
      <w:r>
        <w:rPr>
          <w:color w:val="000000"/>
          <w:sz w:val="20"/>
          <w:szCs w:val="20"/>
        </w:rPr>
        <w:t xml:space="preserve"> </w:t>
      </w:r>
    </w:p>
  </w:footnote>
  <w:footnote w:id="2">
    <w:p w14:paraId="2DFF03BD" w14:textId="7CB5DC91" w:rsidR="008C03AC" w:rsidRDefault="000375DC">
      <w:pPr>
        <w:spacing w:after="0" w:line="240" w:lineRule="auto"/>
        <w:jc w:val="both"/>
        <w:rPr>
          <w:sz w:val="16"/>
          <w:szCs w:val="16"/>
        </w:rPr>
      </w:pPr>
      <w:r>
        <w:rPr>
          <w:vertAlign w:val="superscript"/>
        </w:rPr>
        <w:footnoteRef/>
      </w:r>
      <w:r>
        <w:rPr>
          <w:sz w:val="16"/>
          <w:szCs w:val="16"/>
        </w:rPr>
        <w:t xml:space="preserve"> </w:t>
      </w:r>
      <w:r w:rsidRPr="00172913">
        <w:rPr>
          <w:rFonts w:ascii="Arial" w:hAnsi="Arial" w:cs="Arial"/>
          <w:sz w:val="18"/>
          <w:szCs w:val="18"/>
        </w:rPr>
        <w:t xml:space="preserve">Los levantamientos topográficos utilizados para identificación para rectificación de cabida y </w:t>
      </w:r>
      <w:r w:rsidR="00172913" w:rsidRPr="00172913">
        <w:rPr>
          <w:rFonts w:ascii="Arial" w:hAnsi="Arial" w:cs="Arial"/>
          <w:sz w:val="18"/>
          <w:szCs w:val="18"/>
        </w:rPr>
        <w:t>linderos deben</w:t>
      </w:r>
      <w:r w:rsidRPr="00172913">
        <w:rPr>
          <w:rFonts w:ascii="Arial" w:hAnsi="Arial" w:cs="Arial"/>
          <w:sz w:val="18"/>
          <w:szCs w:val="18"/>
        </w:rPr>
        <w:t xml:space="preserve"> cumplir los parámetros establecidos en la Resolución IGAC 643 de 2018 y sus normas complementarias (Resoluciones 1051 de 2020, 388 de 2021 y 1040 de 2023), así como los requisitos registrales previstos en la Ley 1579 de 2012 y la Resolución 09176 de 2020 de la Superintendencia de Notariado y Registro.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1CAB" w14:textId="77777777" w:rsidR="008C03AC" w:rsidRDefault="000375DC">
    <w:pPr>
      <w:spacing w:after="0" w:line="276" w:lineRule="auto"/>
      <w:rPr>
        <w:rFonts w:ascii="Calibri" w:eastAsia="Calibri" w:hAnsi="Calibri" w:cs="Calibri"/>
        <w:sz w:val="22"/>
        <w:szCs w:val="22"/>
      </w:rPr>
    </w:pPr>
    <w:r>
      <w:rPr>
        <w:rFonts w:ascii="Calibri" w:eastAsia="Calibri" w:hAnsi="Calibri" w:cs="Calibri"/>
        <w:sz w:val="22"/>
        <w:szCs w:val="22"/>
      </w:rPr>
      <w:t xml:space="preserve"> </w:t>
    </w:r>
  </w:p>
  <w:tbl>
    <w:tblPr>
      <w:tblStyle w:val="ad"/>
      <w:tblW w:w="88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30"/>
      <w:gridCol w:w="4905"/>
      <w:gridCol w:w="1785"/>
    </w:tblGrid>
    <w:tr w:rsidR="008C03AC" w14:paraId="32713FF6" w14:textId="77777777">
      <w:trPr>
        <w:trHeight w:val="1140"/>
      </w:trPr>
      <w:tc>
        <w:tcPr>
          <w:tcW w:w="2130" w:type="dxa"/>
          <w:tcBorders>
            <w:top w:val="single" w:sz="8" w:space="0" w:color="BDD7EE"/>
            <w:left w:val="single" w:sz="8" w:space="0" w:color="BDD7EE"/>
            <w:bottom w:val="single" w:sz="8" w:space="0" w:color="BDD7EE"/>
            <w:right w:val="single" w:sz="8" w:space="0" w:color="BDD7EE"/>
          </w:tcBorders>
          <w:tcMar>
            <w:top w:w="0" w:type="dxa"/>
            <w:left w:w="100" w:type="dxa"/>
            <w:bottom w:w="0" w:type="dxa"/>
            <w:right w:w="100" w:type="dxa"/>
          </w:tcMar>
        </w:tcPr>
        <w:p w14:paraId="1A2AA3CA" w14:textId="77777777" w:rsidR="008C03AC" w:rsidRDefault="000375DC">
          <w:r>
            <w:rPr>
              <w:noProof/>
            </w:rPr>
            <w:drawing>
              <wp:inline distT="114300" distB="114300" distL="114300" distR="114300" wp14:anchorId="539AF798" wp14:editId="7B19595B">
                <wp:extent cx="1219200" cy="6985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9200" cy="698500"/>
                        </a:xfrm>
                        <a:prstGeom prst="rect">
                          <a:avLst/>
                        </a:prstGeom>
                        <a:ln/>
                      </pic:spPr>
                    </pic:pic>
                  </a:graphicData>
                </a:graphic>
              </wp:inline>
            </w:drawing>
          </w:r>
        </w:p>
      </w:tc>
      <w:tc>
        <w:tcPr>
          <w:tcW w:w="4905" w:type="dxa"/>
          <w:tcBorders>
            <w:top w:val="single" w:sz="8" w:space="0" w:color="BDD7EE"/>
            <w:bottom w:val="single" w:sz="8" w:space="0" w:color="BDD7EE"/>
            <w:right w:val="single" w:sz="8" w:space="0" w:color="BDD7EE"/>
          </w:tcBorders>
          <w:tcMar>
            <w:top w:w="0" w:type="dxa"/>
            <w:left w:w="100" w:type="dxa"/>
            <w:bottom w:w="0" w:type="dxa"/>
            <w:right w:w="100" w:type="dxa"/>
          </w:tcMar>
        </w:tcPr>
        <w:p w14:paraId="70DA43C9" w14:textId="77777777" w:rsidR="008C03AC" w:rsidRDefault="000375DC">
          <w:pPr>
            <w:spacing w:line="252" w:lineRule="auto"/>
            <w:jc w:val="center"/>
            <w:rPr>
              <w:rFonts w:ascii="Calibri" w:eastAsia="Calibri" w:hAnsi="Calibri" w:cs="Calibri"/>
              <w:color w:val="4472C4"/>
              <w:sz w:val="28"/>
              <w:szCs w:val="28"/>
            </w:rPr>
          </w:pPr>
          <w:r>
            <w:rPr>
              <w:rFonts w:ascii="Calibri" w:eastAsia="Calibri" w:hAnsi="Calibri" w:cs="Calibri"/>
              <w:color w:val="4472C4"/>
              <w:sz w:val="28"/>
              <w:szCs w:val="28"/>
            </w:rPr>
            <w:t>Guía</w:t>
          </w:r>
        </w:p>
        <w:p w14:paraId="00677A32" w14:textId="77777777" w:rsidR="008C03AC" w:rsidRDefault="000375DC">
          <w:pPr>
            <w:pStyle w:val="Ttulo1"/>
            <w:spacing w:before="0" w:after="160" w:line="301" w:lineRule="auto"/>
            <w:jc w:val="center"/>
            <w:rPr>
              <w:rFonts w:ascii="Calibri" w:eastAsia="Calibri" w:hAnsi="Calibri" w:cs="Calibri"/>
              <w:sz w:val="26"/>
              <w:szCs w:val="26"/>
            </w:rPr>
          </w:pPr>
          <w:bookmarkStart w:id="65" w:name="_heading=h.pff9qprdzh07" w:colFirst="0" w:colLast="0"/>
          <w:bookmarkEnd w:id="65"/>
          <w:r>
            <w:rPr>
              <w:rFonts w:ascii="Arial" w:eastAsia="Arial" w:hAnsi="Arial" w:cs="Arial"/>
              <w:color w:val="000000"/>
              <w:sz w:val="22"/>
              <w:szCs w:val="22"/>
            </w:rPr>
            <w:t xml:space="preserve">Fortalecimiento de la gestión de información territorial y catastral </w:t>
          </w:r>
        </w:p>
      </w:tc>
      <w:tc>
        <w:tcPr>
          <w:tcW w:w="1785" w:type="dxa"/>
          <w:tcBorders>
            <w:top w:val="single" w:sz="8" w:space="0" w:color="BDD7EE"/>
            <w:bottom w:val="single" w:sz="8" w:space="0" w:color="BDD7EE"/>
            <w:right w:val="single" w:sz="8" w:space="0" w:color="BDD7EE"/>
          </w:tcBorders>
          <w:tcMar>
            <w:top w:w="0" w:type="dxa"/>
            <w:left w:w="100" w:type="dxa"/>
            <w:bottom w:w="0" w:type="dxa"/>
            <w:right w:w="100" w:type="dxa"/>
          </w:tcMar>
        </w:tcPr>
        <w:p w14:paraId="1CC79387" w14:textId="77777777" w:rsidR="008C03AC" w:rsidRDefault="000375DC">
          <w:pPr>
            <w:spacing w:line="252" w:lineRule="auto"/>
            <w:jc w:val="center"/>
            <w:rPr>
              <w:rFonts w:ascii="Calibri" w:eastAsia="Calibri" w:hAnsi="Calibri" w:cs="Calibri"/>
              <w:sz w:val="22"/>
              <w:szCs w:val="22"/>
            </w:rPr>
          </w:pPr>
          <w:r>
            <w:rPr>
              <w:rFonts w:ascii="Calibri" w:eastAsia="Calibri" w:hAnsi="Calibri" w:cs="Calibri"/>
              <w:sz w:val="22"/>
              <w:szCs w:val="22"/>
            </w:rPr>
            <w:t xml:space="preserve"> </w:t>
          </w:r>
        </w:p>
        <w:p w14:paraId="2F7360D6" w14:textId="77777777" w:rsidR="008C03AC" w:rsidRDefault="000375DC">
          <w:pPr>
            <w:spacing w:line="252" w:lineRule="auto"/>
            <w:jc w:val="center"/>
            <w:rPr>
              <w:rFonts w:ascii="Calibri" w:eastAsia="Calibri" w:hAnsi="Calibri" w:cs="Calibri"/>
              <w:sz w:val="20"/>
              <w:szCs w:val="20"/>
            </w:rPr>
          </w:pPr>
          <w:r>
            <w:rPr>
              <w:rFonts w:ascii="Calibri" w:eastAsia="Calibri" w:hAnsi="Calibri" w:cs="Calibri"/>
              <w:sz w:val="20"/>
              <w:szCs w:val="20"/>
            </w:rPr>
            <w:t>Fecha:</w:t>
          </w:r>
        </w:p>
        <w:p w14:paraId="7856BBD8" w14:textId="77777777" w:rsidR="008C03AC" w:rsidRDefault="000375DC">
          <w:pPr>
            <w:spacing w:line="252" w:lineRule="auto"/>
            <w:jc w:val="center"/>
            <w:rPr>
              <w:rFonts w:ascii="Calibri" w:eastAsia="Calibri" w:hAnsi="Calibri" w:cs="Calibri"/>
              <w:sz w:val="20"/>
              <w:szCs w:val="20"/>
            </w:rPr>
          </w:pPr>
          <w:r>
            <w:rPr>
              <w:rFonts w:ascii="Calibri" w:eastAsia="Calibri" w:hAnsi="Calibri" w:cs="Calibri"/>
              <w:sz w:val="20"/>
              <w:szCs w:val="20"/>
            </w:rPr>
            <w:t>31/03/2016</w:t>
          </w:r>
        </w:p>
      </w:tc>
    </w:tr>
  </w:tbl>
  <w:p w14:paraId="3DAF88D3" w14:textId="77777777" w:rsidR="008C03AC" w:rsidRDefault="008C03AC">
    <w:pPr>
      <w:spacing w:after="0" w:line="276"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222"/>
    <w:multiLevelType w:val="multilevel"/>
    <w:tmpl w:val="209079AA"/>
    <w:lvl w:ilvl="0">
      <w:numFmt w:val="bullet"/>
      <w:lvlText w:val="•"/>
      <w:lvlJc w:val="left"/>
      <w:pPr>
        <w:ind w:left="720" w:hanging="360"/>
      </w:pPr>
      <w:rPr>
        <w:rFonts w:hint="default"/>
        <w:u w:val="none"/>
        <w:lang w:val="es-E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9941BE"/>
    <w:multiLevelType w:val="multilevel"/>
    <w:tmpl w:val="AB185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BE1E66"/>
    <w:multiLevelType w:val="multilevel"/>
    <w:tmpl w:val="C366B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430191"/>
    <w:multiLevelType w:val="multilevel"/>
    <w:tmpl w:val="926A6A74"/>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511AC3"/>
    <w:multiLevelType w:val="multilevel"/>
    <w:tmpl w:val="C01C8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3241F5"/>
    <w:multiLevelType w:val="multilevel"/>
    <w:tmpl w:val="398C27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DF7507"/>
    <w:multiLevelType w:val="multilevel"/>
    <w:tmpl w:val="B5365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FB28FE"/>
    <w:multiLevelType w:val="multilevel"/>
    <w:tmpl w:val="884C5DBC"/>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8BF5829"/>
    <w:multiLevelType w:val="multilevel"/>
    <w:tmpl w:val="EDEAA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8C4EDC"/>
    <w:multiLevelType w:val="hybridMultilevel"/>
    <w:tmpl w:val="215045DE"/>
    <w:lvl w:ilvl="0" w:tplc="0400CF40">
      <w:numFmt w:val="bullet"/>
      <w:lvlText w:val="•"/>
      <w:lvlJc w:val="left"/>
      <w:pPr>
        <w:ind w:left="789" w:hanging="360"/>
      </w:pPr>
      <w:rPr>
        <w:rFonts w:ascii="Arial MT" w:eastAsia="Arial MT" w:hAnsi="Arial MT" w:cs="Arial MT" w:hint="default"/>
        <w:b w:val="0"/>
        <w:bCs w:val="0"/>
        <w:i w:val="0"/>
        <w:iCs w:val="0"/>
        <w:spacing w:val="0"/>
        <w:w w:val="90"/>
        <w:sz w:val="23"/>
        <w:szCs w:val="23"/>
        <w:lang w:val="es-ES" w:eastAsia="en-US" w:bidi="ar-SA"/>
      </w:rPr>
    </w:lvl>
    <w:lvl w:ilvl="1" w:tplc="0C0A0003" w:tentative="1">
      <w:start w:val="1"/>
      <w:numFmt w:val="bullet"/>
      <w:lvlText w:val="o"/>
      <w:lvlJc w:val="left"/>
      <w:pPr>
        <w:ind w:left="1509" w:hanging="360"/>
      </w:pPr>
      <w:rPr>
        <w:rFonts w:ascii="Courier New" w:hAnsi="Courier New" w:cs="Courier New" w:hint="default"/>
      </w:rPr>
    </w:lvl>
    <w:lvl w:ilvl="2" w:tplc="0C0A0005" w:tentative="1">
      <w:start w:val="1"/>
      <w:numFmt w:val="bullet"/>
      <w:lvlText w:val=""/>
      <w:lvlJc w:val="left"/>
      <w:pPr>
        <w:ind w:left="2229" w:hanging="360"/>
      </w:pPr>
      <w:rPr>
        <w:rFonts w:ascii="Wingdings" w:hAnsi="Wingdings" w:hint="default"/>
      </w:rPr>
    </w:lvl>
    <w:lvl w:ilvl="3" w:tplc="0C0A0001" w:tentative="1">
      <w:start w:val="1"/>
      <w:numFmt w:val="bullet"/>
      <w:lvlText w:val=""/>
      <w:lvlJc w:val="left"/>
      <w:pPr>
        <w:ind w:left="2949" w:hanging="360"/>
      </w:pPr>
      <w:rPr>
        <w:rFonts w:ascii="Symbol" w:hAnsi="Symbol" w:hint="default"/>
      </w:rPr>
    </w:lvl>
    <w:lvl w:ilvl="4" w:tplc="0C0A0003" w:tentative="1">
      <w:start w:val="1"/>
      <w:numFmt w:val="bullet"/>
      <w:lvlText w:val="o"/>
      <w:lvlJc w:val="left"/>
      <w:pPr>
        <w:ind w:left="3669" w:hanging="360"/>
      </w:pPr>
      <w:rPr>
        <w:rFonts w:ascii="Courier New" w:hAnsi="Courier New" w:cs="Courier New" w:hint="default"/>
      </w:rPr>
    </w:lvl>
    <w:lvl w:ilvl="5" w:tplc="0C0A0005" w:tentative="1">
      <w:start w:val="1"/>
      <w:numFmt w:val="bullet"/>
      <w:lvlText w:val=""/>
      <w:lvlJc w:val="left"/>
      <w:pPr>
        <w:ind w:left="4389" w:hanging="360"/>
      </w:pPr>
      <w:rPr>
        <w:rFonts w:ascii="Wingdings" w:hAnsi="Wingdings" w:hint="default"/>
      </w:rPr>
    </w:lvl>
    <w:lvl w:ilvl="6" w:tplc="0C0A0001" w:tentative="1">
      <w:start w:val="1"/>
      <w:numFmt w:val="bullet"/>
      <w:lvlText w:val=""/>
      <w:lvlJc w:val="left"/>
      <w:pPr>
        <w:ind w:left="5109" w:hanging="360"/>
      </w:pPr>
      <w:rPr>
        <w:rFonts w:ascii="Symbol" w:hAnsi="Symbol" w:hint="default"/>
      </w:rPr>
    </w:lvl>
    <w:lvl w:ilvl="7" w:tplc="0C0A0003" w:tentative="1">
      <w:start w:val="1"/>
      <w:numFmt w:val="bullet"/>
      <w:lvlText w:val="o"/>
      <w:lvlJc w:val="left"/>
      <w:pPr>
        <w:ind w:left="5829" w:hanging="360"/>
      </w:pPr>
      <w:rPr>
        <w:rFonts w:ascii="Courier New" w:hAnsi="Courier New" w:cs="Courier New" w:hint="default"/>
      </w:rPr>
    </w:lvl>
    <w:lvl w:ilvl="8" w:tplc="0C0A0005" w:tentative="1">
      <w:start w:val="1"/>
      <w:numFmt w:val="bullet"/>
      <w:lvlText w:val=""/>
      <w:lvlJc w:val="left"/>
      <w:pPr>
        <w:ind w:left="6549" w:hanging="360"/>
      </w:pPr>
      <w:rPr>
        <w:rFonts w:ascii="Wingdings" w:hAnsi="Wingdings" w:hint="default"/>
      </w:rPr>
    </w:lvl>
  </w:abstractNum>
  <w:abstractNum w:abstractNumId="10" w15:restartNumberingAfterBreak="0">
    <w:nsid w:val="33FE6180"/>
    <w:multiLevelType w:val="hybridMultilevel"/>
    <w:tmpl w:val="B498DC64"/>
    <w:lvl w:ilvl="0" w:tplc="15C692C2">
      <w:start w:val="2"/>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42E16389"/>
    <w:multiLevelType w:val="hybridMultilevel"/>
    <w:tmpl w:val="3CA4AB4A"/>
    <w:lvl w:ilvl="0" w:tplc="A05C5876">
      <w:start w:val="2"/>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4A770903"/>
    <w:multiLevelType w:val="multilevel"/>
    <w:tmpl w:val="E6DC37E6"/>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B0D05EA"/>
    <w:multiLevelType w:val="multilevel"/>
    <w:tmpl w:val="1F905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B260841"/>
    <w:multiLevelType w:val="multilevel"/>
    <w:tmpl w:val="CA82775A"/>
    <w:lvl w:ilvl="0">
      <w:start w:val="2"/>
      <w:numFmt w:val="decimal"/>
      <w:lvlText w:val="%1"/>
      <w:lvlJc w:val="left"/>
      <w:pPr>
        <w:ind w:left="360" w:hanging="360"/>
      </w:pPr>
      <w:rPr>
        <w:rFonts w:hint="default"/>
        <w:b/>
      </w:rPr>
    </w:lvl>
    <w:lvl w:ilvl="1">
      <w:start w:val="6"/>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5D8337C6"/>
    <w:multiLevelType w:val="multilevel"/>
    <w:tmpl w:val="B34A970C"/>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E4075B6"/>
    <w:multiLevelType w:val="multilevel"/>
    <w:tmpl w:val="56CEB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6A34C4"/>
    <w:multiLevelType w:val="multilevel"/>
    <w:tmpl w:val="1A4E97C2"/>
    <w:lvl w:ilvl="0">
      <w:start w:val="2"/>
      <w:numFmt w:val="decimal"/>
      <w:lvlText w:val="%1"/>
      <w:lvlJc w:val="left"/>
      <w:pPr>
        <w:ind w:left="480" w:hanging="480"/>
      </w:pPr>
      <w:rPr>
        <w:rFonts w:hint="default"/>
      </w:rPr>
    </w:lvl>
    <w:lvl w:ilvl="1">
      <w:start w:val="10"/>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FEF1B34"/>
    <w:multiLevelType w:val="multilevel"/>
    <w:tmpl w:val="A6601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09D27E4"/>
    <w:multiLevelType w:val="multilevel"/>
    <w:tmpl w:val="2390B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1571EA1"/>
    <w:multiLevelType w:val="multilevel"/>
    <w:tmpl w:val="64D24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1AA74CF"/>
    <w:multiLevelType w:val="multilevel"/>
    <w:tmpl w:val="07EE8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CB2C11"/>
    <w:multiLevelType w:val="multilevel"/>
    <w:tmpl w:val="86805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1B631B7"/>
    <w:multiLevelType w:val="multilevel"/>
    <w:tmpl w:val="CBA625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5DB29E6"/>
    <w:multiLevelType w:val="multilevel"/>
    <w:tmpl w:val="46CED9B0"/>
    <w:lvl w:ilvl="0">
      <w:start w:val="2"/>
      <w:numFmt w:val="decimal"/>
      <w:lvlText w:val="%1"/>
      <w:lvlJc w:val="left"/>
      <w:pPr>
        <w:ind w:left="480" w:hanging="480"/>
      </w:pPr>
      <w:rPr>
        <w:rFonts w:hint="default"/>
      </w:rPr>
    </w:lvl>
    <w:lvl w:ilvl="1">
      <w:start w:val="10"/>
      <w:numFmt w:val="decimal"/>
      <w:lvlText w:val="%1-%2"/>
      <w:lvlJc w:val="left"/>
      <w:pPr>
        <w:ind w:left="1680" w:hanging="48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440" w:hanging="144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10200" w:hanging="1800"/>
      </w:pPr>
      <w:rPr>
        <w:rFonts w:hint="default"/>
      </w:rPr>
    </w:lvl>
    <w:lvl w:ilvl="8">
      <w:start w:val="1"/>
      <w:numFmt w:val="decimal"/>
      <w:lvlText w:val="%1-%2.%3.%4.%5.%6.%7.%8.%9"/>
      <w:lvlJc w:val="left"/>
      <w:pPr>
        <w:ind w:left="11400" w:hanging="1800"/>
      </w:pPr>
      <w:rPr>
        <w:rFonts w:hint="default"/>
      </w:rPr>
    </w:lvl>
  </w:abstractNum>
  <w:abstractNum w:abstractNumId="25" w15:restartNumberingAfterBreak="0">
    <w:nsid w:val="787163E9"/>
    <w:multiLevelType w:val="multilevel"/>
    <w:tmpl w:val="438EEF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C534BB6"/>
    <w:multiLevelType w:val="multilevel"/>
    <w:tmpl w:val="76562304"/>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E972C10"/>
    <w:multiLevelType w:val="multilevel"/>
    <w:tmpl w:val="2A661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EF55BA3"/>
    <w:multiLevelType w:val="multilevel"/>
    <w:tmpl w:val="209079AA"/>
    <w:lvl w:ilvl="0">
      <w:numFmt w:val="bullet"/>
      <w:lvlText w:val="•"/>
      <w:lvlJc w:val="left"/>
      <w:pPr>
        <w:ind w:left="720" w:hanging="360"/>
      </w:pPr>
      <w:rPr>
        <w:rFonts w:hint="default"/>
        <w:u w:val="none"/>
        <w:lang w:val="es-E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81496301">
    <w:abstractNumId w:val="25"/>
  </w:num>
  <w:num w:numId="2" w16cid:durableId="950206509">
    <w:abstractNumId w:val="19"/>
  </w:num>
  <w:num w:numId="3" w16cid:durableId="650596479">
    <w:abstractNumId w:val="18"/>
  </w:num>
  <w:num w:numId="4" w16cid:durableId="1804040019">
    <w:abstractNumId w:val="4"/>
  </w:num>
  <w:num w:numId="5" w16cid:durableId="1922980368">
    <w:abstractNumId w:val="8"/>
  </w:num>
  <w:num w:numId="6" w16cid:durableId="2126458360">
    <w:abstractNumId w:val="20"/>
  </w:num>
  <w:num w:numId="7" w16cid:durableId="294609232">
    <w:abstractNumId w:val="22"/>
  </w:num>
  <w:num w:numId="8" w16cid:durableId="929892253">
    <w:abstractNumId w:val="21"/>
  </w:num>
  <w:num w:numId="9" w16cid:durableId="862743184">
    <w:abstractNumId w:val="1"/>
  </w:num>
  <w:num w:numId="10" w16cid:durableId="2085905743">
    <w:abstractNumId w:val="2"/>
  </w:num>
  <w:num w:numId="11" w16cid:durableId="120809450">
    <w:abstractNumId w:val="0"/>
  </w:num>
  <w:num w:numId="12" w16cid:durableId="1157647894">
    <w:abstractNumId w:val="3"/>
  </w:num>
  <w:num w:numId="13" w16cid:durableId="1222791771">
    <w:abstractNumId w:val="16"/>
  </w:num>
  <w:num w:numId="14" w16cid:durableId="2142650944">
    <w:abstractNumId w:val="5"/>
  </w:num>
  <w:num w:numId="15" w16cid:durableId="1853449171">
    <w:abstractNumId w:val="6"/>
  </w:num>
  <w:num w:numId="16" w16cid:durableId="2143039718">
    <w:abstractNumId w:val="27"/>
  </w:num>
  <w:num w:numId="17" w16cid:durableId="1639650362">
    <w:abstractNumId w:val="13"/>
  </w:num>
  <w:num w:numId="18" w16cid:durableId="913398942">
    <w:abstractNumId w:val="23"/>
  </w:num>
  <w:num w:numId="19" w16cid:durableId="937520146">
    <w:abstractNumId w:val="9"/>
  </w:num>
  <w:num w:numId="20" w16cid:durableId="1306008634">
    <w:abstractNumId w:val="28"/>
  </w:num>
  <w:num w:numId="21" w16cid:durableId="1804887450">
    <w:abstractNumId w:val="26"/>
  </w:num>
  <w:num w:numId="22" w16cid:durableId="721757737">
    <w:abstractNumId w:val="7"/>
  </w:num>
  <w:num w:numId="23" w16cid:durableId="226765924">
    <w:abstractNumId w:val="14"/>
  </w:num>
  <w:num w:numId="24" w16cid:durableId="1574967549">
    <w:abstractNumId w:val="12"/>
  </w:num>
  <w:num w:numId="25" w16cid:durableId="610938488">
    <w:abstractNumId w:val="15"/>
  </w:num>
  <w:num w:numId="26" w16cid:durableId="2092850739">
    <w:abstractNumId w:val="10"/>
  </w:num>
  <w:num w:numId="27" w16cid:durableId="1652245209">
    <w:abstractNumId w:val="11"/>
  </w:num>
  <w:num w:numId="28" w16cid:durableId="789862304">
    <w:abstractNumId w:val="17"/>
  </w:num>
  <w:num w:numId="29" w16cid:durableId="20573915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3AC"/>
    <w:rsid w:val="000375DC"/>
    <w:rsid w:val="000442C8"/>
    <w:rsid w:val="000B1966"/>
    <w:rsid w:val="000C6570"/>
    <w:rsid w:val="00172913"/>
    <w:rsid w:val="001923ED"/>
    <w:rsid w:val="002D3D68"/>
    <w:rsid w:val="004578F0"/>
    <w:rsid w:val="00657514"/>
    <w:rsid w:val="007733E7"/>
    <w:rsid w:val="008C03AC"/>
    <w:rsid w:val="00A81B4E"/>
    <w:rsid w:val="00B94C08"/>
    <w:rsid w:val="00BA4F19"/>
    <w:rsid w:val="00BB5DE9"/>
    <w:rsid w:val="00C041BD"/>
    <w:rsid w:val="00CA4587"/>
    <w:rsid w:val="00CE27D8"/>
    <w:rsid w:val="00F51B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6AAB"/>
  <w15:docId w15:val="{4A98D7F3-4C83-4C89-8434-653BF535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O" w:eastAsia="es-E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paragraph" w:styleId="TtuloTDC">
    <w:name w:val="TOC Heading"/>
    <w:basedOn w:val="Ttulo1"/>
    <w:next w:val="Normal"/>
    <w:uiPriority w:val="39"/>
    <w:unhideWhenUsed/>
    <w:qFormat/>
    <w:rsid w:val="00A81B4E"/>
    <w:pPr>
      <w:spacing w:before="240" w:after="0" w:line="259" w:lineRule="auto"/>
      <w:outlineLvl w:val="9"/>
    </w:pPr>
    <w:rPr>
      <w:rFonts w:asciiTheme="majorHAnsi" w:eastAsiaTheme="majorEastAsia" w:hAnsiTheme="majorHAnsi" w:cstheme="majorBidi"/>
      <w:color w:val="365F91" w:themeColor="accent1" w:themeShade="BF"/>
      <w:sz w:val="32"/>
      <w:szCs w:val="32"/>
      <w:lang w:val="es-ES"/>
    </w:rPr>
  </w:style>
  <w:style w:type="paragraph" w:styleId="TDC1">
    <w:name w:val="toc 1"/>
    <w:basedOn w:val="Normal"/>
    <w:next w:val="Normal"/>
    <w:autoRedefine/>
    <w:uiPriority w:val="39"/>
    <w:unhideWhenUsed/>
    <w:rsid w:val="000442C8"/>
    <w:pPr>
      <w:tabs>
        <w:tab w:val="right" w:leader="dot" w:pos="8828"/>
      </w:tabs>
      <w:spacing w:after="100"/>
      <w:ind w:left="284"/>
    </w:pPr>
  </w:style>
  <w:style w:type="paragraph" w:styleId="TDC2">
    <w:name w:val="toc 2"/>
    <w:basedOn w:val="Normal"/>
    <w:next w:val="Normal"/>
    <w:autoRedefine/>
    <w:uiPriority w:val="39"/>
    <w:unhideWhenUsed/>
    <w:rsid w:val="00A81B4E"/>
    <w:pPr>
      <w:spacing w:after="100"/>
      <w:ind w:left="240"/>
    </w:pPr>
  </w:style>
  <w:style w:type="character" w:styleId="Hipervnculo">
    <w:name w:val="Hyperlink"/>
    <w:basedOn w:val="Fuentedeprrafopredeter"/>
    <w:uiPriority w:val="99"/>
    <w:unhideWhenUsed/>
    <w:rsid w:val="00A81B4E"/>
    <w:rPr>
      <w:color w:val="0000FF" w:themeColor="hyperlink"/>
      <w:u w:val="single"/>
    </w:rPr>
  </w:style>
  <w:style w:type="paragraph" w:styleId="Prrafodelista">
    <w:name w:val="List Paragraph"/>
    <w:basedOn w:val="Normal"/>
    <w:uiPriority w:val="34"/>
    <w:qFormat/>
    <w:rsid w:val="000442C8"/>
    <w:pPr>
      <w:ind w:left="720"/>
      <w:contextualSpacing/>
    </w:pPr>
  </w:style>
  <w:style w:type="paragraph" w:styleId="Descripcin">
    <w:name w:val="caption"/>
    <w:basedOn w:val="Normal"/>
    <w:next w:val="Normal"/>
    <w:uiPriority w:val="35"/>
    <w:unhideWhenUsed/>
    <w:qFormat/>
    <w:rsid w:val="000C6570"/>
    <w:pPr>
      <w:spacing w:after="200" w:line="240" w:lineRule="auto"/>
    </w:pPr>
    <w:rPr>
      <w:i/>
      <w:iCs/>
      <w:color w:val="1F497D" w:themeColor="text2"/>
      <w:sz w:val="18"/>
      <w:szCs w:val="18"/>
    </w:rPr>
  </w:style>
  <w:style w:type="paragraph" w:styleId="Tabladeilustraciones">
    <w:name w:val="table of figures"/>
    <w:basedOn w:val="Normal"/>
    <w:next w:val="Normal"/>
    <w:uiPriority w:val="99"/>
    <w:unhideWhenUsed/>
    <w:rsid w:val="000C657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xxxxxxxxxxxxxxxxxxxxx/" TargetMode="Externa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NWkXbjqbdNZjtyot8ULLQeSs5Q==">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</go:docsCustomData>
</go:gDocsCustomXmlDataStorage>
</file>

<file path=customXml/itemProps1.xml><?xml version="1.0" encoding="utf-8"?>
<ds:datastoreItem xmlns:ds="http://schemas.openxmlformats.org/officeDocument/2006/customXml" ds:itemID="{41832685-2407-4085-BC5A-389E2414BC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32</Pages>
  <Words>5684</Words>
  <Characters>31264</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GUILLERMO CARRILLO BALLESTEROS</dc:creator>
  <cp:lastModifiedBy>LUNA SALOME RUIZ HEREDIA</cp:lastModifiedBy>
  <cp:revision>4</cp:revision>
  <dcterms:created xsi:type="dcterms:W3CDTF">2026-06-15T17:04:00Z</dcterms:created>
  <dcterms:modified xsi:type="dcterms:W3CDTF">2026-06-22T20:11:00Z</dcterms:modified>
</cp:coreProperties>
</file>